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rFonts w:ascii="Arial" w:cs="Arial" w:eastAsia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rFonts w:ascii="Arial" w:cs="Arial" w:eastAsia="Arial" w:hAnsi="Arial"/>
        </w:rPr>
        <w:t xml:space="preserve">EMENDA </w:t>
      </w:r>
      <w:r>
        <w:rPr>
          <w:color w:val="FF0000"/>
          <w:sz w:val="24"/>
          <w:b/>
          <w:rFonts w:ascii="Arial" w:cs="Arial" w:eastAsia="Arial" w:hAnsi="Arial"/>
        </w:rPr>
        <w:t xml:space="preserve">ADITIVA N.º 15 </w:t>
      </w:r>
      <w:r>
        <w:rPr>
          <w:sz w:val="24"/>
          <w:b/>
          <w:rFonts w:ascii="Arial" w:cs="Arial" w:eastAsia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bookmarkStart w:id="1" w:name="h.gjdgxs"/>
      <w:bookmarkEnd w:id="1"/>
      <w:r>
        <w:rPr>
          <w:sz w:val="20"/>
          <w:b/>
          <w:rFonts w:ascii="Arial" w:cs="Arial" w:eastAsia="Arial" w:hAnsi="Arial"/>
        </w:rPr>
        <w:t xml:space="preserve">Ementa: Adiciona aos anexos de despesas orçamentárias do Projeto n.º 25/2014, que estima a receita e fixa a despesa do Município para o exercício de 2015, o valor que especifica, subtraindo a respectiva quantia da unidade e classificação orçamentárias indicadas. 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Art.1.º Ficam adicionados aos anexos de despesas orçamentárias do Projeto n.º 25/2014, que estima a receita e fixa a despesa do Município para o exercício de 2015, o valor de R$3.000,00(três mil reais) a ser destinado a título de Subvenção Social para cada entidade a seguir especificadas:</w:t>
      </w:r>
    </w:p>
    <w:p>
      <w:pPr>
        <w:pStyle w:val="style0"/>
        <w:jc w:val="both"/>
        <w:ind w:firstLine="851" w:left="0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I -  guarda de congo Moçambique de Nossa Senhora do Rosário de Pedro Leopoldo; </w:t>
      </w:r>
    </w:p>
    <w:p>
      <w:pPr>
        <w:pStyle w:val="style0"/>
        <w:jc w:val="both"/>
        <w:ind w:firstLine="851" w:left="0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>II -  guarda de congo Chico Rei;</w:t>
      </w:r>
    </w:p>
    <w:p>
      <w:pPr>
        <w:pStyle w:val="style0"/>
        <w:jc w:val="both"/>
        <w:ind w:firstLine="851" w:left="0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III - guarda de congo Nossa Senhora do Rosário de Vera Cruz; </w:t>
      </w:r>
    </w:p>
    <w:p>
      <w:pPr>
        <w:pStyle w:val="style0"/>
        <w:jc w:val="both"/>
        <w:ind w:firstLine="851" w:left="0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IV - guarda de congo Nossa Senhora do Rosário e Candomblé; </w:t>
      </w:r>
    </w:p>
    <w:p>
      <w:pPr>
        <w:pStyle w:val="style0"/>
        <w:jc w:val="both"/>
        <w:ind w:firstLine="851" w:left="0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>V -  guarda de congo Santa Efigênia;</w:t>
      </w:r>
    </w:p>
    <w:p>
      <w:pPr>
        <w:pStyle w:val="style0"/>
        <w:jc w:val="both"/>
        <w:ind w:firstLine="851" w:left="0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VI - guarda de honra de congados de Nossa Senhora do Rosário. </w:t>
      </w:r>
    </w:p>
    <w:p>
      <w:pPr>
        <w:pStyle w:val="style0"/>
        <w:jc w:val="both"/>
        <w:ind w:firstLine="851" w:left="0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>VII – guarda de congo Nossa Senhora do Rosário do bairro Santo Antônio;</w:t>
      </w:r>
    </w:p>
    <w:p>
      <w:pPr>
        <w:pStyle w:val="style0"/>
        <w:jc w:val="both"/>
        <w:ind w:firstLine="851" w:left="0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>VIII – guarda de congo Nossa Senhora do Rosário do bairro Lagoa de Santo Antônio;</w:t>
      </w:r>
    </w:p>
    <w:p>
      <w:pPr>
        <w:pStyle w:val="style0"/>
        <w:jc w:val="both"/>
        <w:ind w:firstLine="851" w:left="0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>IX - - folia de Reis Monsenhor Roque;</w:t>
      </w:r>
    </w:p>
    <w:p>
      <w:pPr>
        <w:pStyle w:val="style0"/>
        <w:jc w:val="both"/>
        <w:ind w:firstLine="851" w:left="0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>X – grupo da maturidade Anos Dourados;</w:t>
      </w:r>
    </w:p>
    <w:p>
      <w:pPr>
        <w:pStyle w:val="style0"/>
        <w:jc w:val="both"/>
        <w:ind w:firstLine="851" w:left="0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>XI – guarda de congados de Nossa Senhora do Rosário de Santo Antônio da Barra.</w:t>
      </w:r>
    </w:p>
    <w:p>
      <w:pPr>
        <w:pStyle w:val="style0"/>
        <w:jc w:val="both"/>
        <w:spacing w:after="0" w:before="0" w:line="100" w:lineRule="atLeast"/>
      </w:pPr>
      <w:r>
        <w:rPr/>
      </w:r>
    </w:p>
    <w:p>
      <w:pPr>
        <w:pStyle w:val="style0"/>
        <w:jc w:val="both"/>
        <w:ind w:firstLine="851" w:left="0" w:right="0"/>
        <w:spacing w:after="0" w:before="0"/>
      </w:pPr>
      <w:r>
        <w:rPr>
          <w:color w:val="FF0000"/>
          <w:sz w:val="24"/>
          <w:rFonts w:ascii="Arial" w:cs="Arial" w:eastAsia="Arial" w:hAnsi="Arial"/>
        </w:rPr>
        <w:t>Art.2.º Para fins do disposto no art. 1.º desta Emenda, subtrai-se a respectiva quantia da unidade orçamentária 02.01 – Gabinete do Prefeito -, classificação orçamentária n.º 02.01.01.24.131.0004.2015 – ficha 63 -,  alocando-a na unidade orçamentária 02.07 – Secretaria Municipal de Educação, Cultura, Esporte e Lazer – classificação orçamentária 02.07.03.27.812.0006.2190, onde deverá ser criada o correspondente elemento Subvenção Social.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 3.º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rFonts w:ascii="Arial" w:cs="Arial" w:eastAsia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0"/>
      <w:rFonts w:ascii="Calibri" w:cs="Calibri" w:eastAsia="Calibri" w:hAnsi="Calibri"/>
      <w:lang w:bidi="ar-SA" w:eastAsia="pt-BR" w:val="pt-BR"/>
    </w:rPr>
  </w:style>
  <w:style w:styleId="style1" w:type="paragraph">
    <w:name w:val="Título 1"/>
    <w:basedOn w:val="style0"/>
    <w:next w:val="style17"/>
    <w:pPr>
      <w:outlineLvl w:val="0"/>
      <w:numPr>
        <w:ilvl w:val="0"/>
        <w:numId w:val="1"/>
      </w:numPr>
      <w:keepNext/>
      <w:spacing w:after="120" w:before="480"/>
    </w:pPr>
    <w:rPr>
      <w:sz w:val="48"/>
      <w:b/>
      <w:szCs w:val="23"/>
      <w:bCs/>
    </w:rPr>
  </w:style>
  <w:style w:styleId="style2" w:type="paragraph">
    <w:name w:val="Título 2"/>
    <w:basedOn w:val="style0"/>
    <w:next w:val="style17"/>
    <w:pPr>
      <w:outlineLvl w:val="1"/>
      <w:numPr>
        <w:ilvl w:val="1"/>
        <w:numId w:val="1"/>
      </w:numPr>
      <w:keepNext/>
      <w:spacing w:after="80" w:before="360"/>
    </w:pPr>
    <w:rPr>
      <w:sz w:val="36"/>
      <w:i/>
      <w:b/>
      <w:szCs w:val="28"/>
      <w:iCs/>
      <w:bCs/>
    </w:rPr>
  </w:style>
  <w:style w:styleId="style3" w:type="paragraph">
    <w:name w:val="Título 3"/>
    <w:basedOn w:val="style0"/>
    <w:next w:val="style17"/>
    <w:pPr>
      <w:outlineLvl w:val="2"/>
      <w:numPr>
        <w:ilvl w:val="2"/>
        <w:numId w:val="1"/>
      </w:numPr>
      <w:keepNext/>
      <w:spacing w:after="80" w:before="280"/>
    </w:pPr>
    <w:rPr>
      <w:sz w:val="28"/>
      <w:b/>
      <w:szCs w:val="28"/>
      <w:bCs/>
    </w:rPr>
  </w:style>
  <w:style w:styleId="style4" w:type="paragraph">
    <w:name w:val="Título 4"/>
    <w:basedOn w:val="style0"/>
    <w:next w:val="style17"/>
    <w:pPr>
      <w:outlineLvl w:val="3"/>
      <w:numPr>
        <w:ilvl w:val="3"/>
        <w:numId w:val="1"/>
      </w:numPr>
      <w:keepNext/>
      <w:spacing w:after="40" w:before="240"/>
    </w:pPr>
    <w:rPr>
      <w:sz w:val="24"/>
      <w:i/>
      <w:b/>
      <w:szCs w:val="17"/>
      <w:iCs/>
      <w:bCs/>
    </w:rPr>
  </w:style>
  <w:style w:styleId="style5" w:type="paragraph">
    <w:name w:val="Título 5"/>
    <w:basedOn w:val="style0"/>
    <w:next w:val="style17"/>
    <w:pPr>
      <w:outlineLvl w:val="4"/>
      <w:numPr>
        <w:ilvl w:val="4"/>
        <w:numId w:val="1"/>
      </w:numPr>
      <w:keepNext/>
      <w:spacing w:after="40" w:before="220"/>
    </w:pPr>
    <w:rPr>
      <w:sz w:val="19"/>
      <w:b/>
      <w:szCs w:val="17"/>
      <w:bCs/>
    </w:rPr>
  </w:style>
  <w:style w:styleId="style6" w:type="paragraph">
    <w:name w:val="Título 6"/>
    <w:basedOn w:val="style0"/>
    <w:next w:val="style17"/>
    <w:pPr>
      <w:outlineLvl w:val="5"/>
      <w:numPr>
        <w:ilvl w:val="5"/>
        <w:numId w:val="1"/>
      </w:numPr>
      <w:keepNext/>
      <w:spacing w:after="40" w:before="200"/>
    </w:pPr>
    <w:rPr>
      <w:sz w:val="20"/>
      <w:b/>
      <w:szCs w:val="15"/>
      <w:bCs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480"/>
    </w:pPr>
    <w:rPr>
      <w:sz w:val="72"/>
      <w:b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Subtítulo"/>
    <w:basedOn w:val="style0"/>
    <w:next w:val="style17"/>
    <w:pPr>
      <w:jc w:val="center"/>
      <w:keepNext/>
      <w:spacing w:after="80" w:before="360"/>
    </w:pPr>
    <w:rPr>
      <w:color w:val="666666"/>
      <w:sz w:val="48"/>
      <w:i/>
      <w:szCs w:val="28"/>
      <w:iCs/>
      <w:rFonts w:ascii="Georgia" w:cs="Georgia" w:eastAsia="Georgia" w:hAnsi="Georg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2014-11-21T14:36:00.00Z</dcterms:created>
  <dc:creator>Câmara P.Leopoldo</dc:creator>
  <cp:lastModifiedBy>Câmara P.Leopoldo</cp:lastModifiedBy>
  <dcterms:modified xsi:type="dcterms:W3CDTF">2014-11-21T14:36:00.00Z</dcterms:modified>
  <cp:revision>2</cp:revision>
  <dc:title>EMENDA ADITIVA Aziz.docx.docx</dc:title>
</cp:coreProperties>
</file>