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>EMENDA ADITIVA N.º 63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bookmarkStart w:id="0" w:name="_GoBack"/>
      <w:bookmarkEnd w:id="0"/>
      <w:r>
        <w:rPr>
          <w:sz w:val="20"/>
          <w:b/>
          <w:rFonts w:ascii="Arial" w:cs="Arial" w:eastAsia="Arial" w:hAnsi="Arial"/>
        </w:rPr>
        <w:t>Ementa: Adiciona aos anexos de despesas orçamentárias do Projeto n.º 25/2014 da Lei Orçamentária Anual a ação de patrolamento e encascalhamento na subida do Quilombo (Pimentel).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rFonts w:ascii="Arial" w:cs="Arial" w:eastAsia="Arial" w:hAnsi="Arial"/>
        </w:rPr>
        <w:t>da Lei Orçamentária Anual a ação de patrolamento e encascalhamento na subida do Quilombo (Pimentel).</w:t>
      </w:r>
    </w:p>
    <w:p>
      <w:pPr>
        <w:pStyle w:val="style0"/>
        <w:jc w:val="both"/>
        <w:ind w:firstLine="851" w:left="0" w:right="0"/>
      </w:pPr>
      <w:bookmarkStart w:id="1" w:name="h.gjdgxs"/>
      <w:bookmarkEnd w:id="1"/>
      <w:r>
        <w:rPr>
          <w:sz w:val="24"/>
          <w:rFonts w:ascii="Arial" w:cs="Arial" w:eastAsia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2014-11-21T13:41:00.00Z</dcterms:created>
  <dc:creator>Câmara P.Leopoldo</dc:creator>
  <cp:lastModifiedBy>Câmara P.Leopoldo</cp:lastModifiedBy>
  <cp:lastPrinted>2014-11-24T17:24:36.00Z</cp:lastPrinted>
  <dcterms:modified xsi:type="dcterms:W3CDTF">2014-11-21T13:42:00.00Z</dcterms:modified>
  <cp:revision>3</cp:revision>
  <dc:title>EMENDA Pastor José Maria n.14.docx.docx</dc:title>
</cp:coreProperties>
</file>