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>EMENDA ADITIVA N.º 85 AO PROJETO DE LEI N.º 25/2014 - LOA</w:t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>Ementa: Adiciona aos anexos de despesas orçamentárias do Projeto n.º 25/2014 da Lei Orçamentária Anual a ação de instalação de Unidade de Saúde no bairro Andyara ou ampliação do atendimento médico da unidade mais próxima.</w:t>
      </w:r>
    </w:p>
    <w:p>
      <w:pPr>
        <w:pStyle w:val="style0"/>
        <w:jc w:val="both"/>
        <w:ind w:hanging="0" w:left="2268" w:right="0"/>
      </w:pPr>
      <w:r>
        <w:rPr/>
      </w:r>
    </w:p>
    <w:p>
      <w:pPr>
        <w:pStyle w:val="style0"/>
        <w:jc w:val="both"/>
      </w:pPr>
      <w:bookmarkStart w:id="0" w:name="h.gjdgxs"/>
      <w:bookmarkEnd w:id="0"/>
      <w:r>
        <w:rPr>
          <w:sz w:val="24"/>
          <w:rFonts w:ascii="Arial" w:cs="Arial" w:eastAsia="Arial" w:hAnsi="Arial"/>
        </w:rPr>
        <w:t xml:space="preserve">              </w:t>
      </w:r>
      <w:r>
        <w:rPr>
          <w:sz w:val="24"/>
          <w:rFonts w:ascii="Arial" w:cs="Arial" w:eastAsia="Arial" w:hAnsi="Arial"/>
        </w:rPr>
        <w:t>Art.1.º Ficam adicionados aos anexos de despesas orçamentárias do Projeto n.º 25/2014</w:t>
      </w:r>
      <w:r>
        <w:rPr/>
        <w:t xml:space="preserve"> </w:t>
      </w:r>
      <w:r>
        <w:rPr>
          <w:sz w:val="24"/>
          <w:rFonts w:ascii="Arial" w:cs="Arial" w:eastAsia="Arial" w:hAnsi="Arial"/>
        </w:rPr>
        <w:t>da Lei Orçamentária Anual a ação de</w:t>
      </w:r>
      <w:bookmarkStart w:id="1" w:name="_GoBack"/>
      <w:bookmarkEnd w:id="1"/>
      <w:r>
        <w:rPr>
          <w:sz w:val="24"/>
          <w:rFonts w:ascii="Arial" w:cs="Arial" w:eastAsia="Arial" w:hAnsi="Arial"/>
        </w:rPr>
        <w:t xml:space="preserve"> instalação de Unidade de Saúde no bairro Andyara ou ampliação do atendimento médico da unidade mais próxima.</w:t>
      </w:r>
    </w:p>
    <w:p>
      <w:pPr>
        <w:pStyle w:val="style0"/>
        <w:jc w:val="both"/>
      </w:pPr>
      <w:r>
        <w:rPr>
          <w:sz w:val="24"/>
          <w:rFonts w:ascii="Arial" w:cs="Arial" w:eastAsia="Arial" w:hAnsi="Arial"/>
        </w:rPr>
        <w:t xml:space="preserve">             </w:t>
      </w:r>
      <w:r>
        <w:rPr>
          <w:sz w:val="24"/>
          <w:rFonts w:ascii="Arial" w:cs="Arial" w:eastAsia="Arial" w:hAnsi="Arial"/>
        </w:rPr>
        <w:t>Art.2.º Esta emenda tramitará nos termos do que dispõe o Regimento Interno da Câmara Municipal de Pedro Leopoldo.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jc w:val="both"/>
        <w:ind w:firstLine="851" w:left="0" w:right="0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Comissão de Finanças Públicas</w:t>
      </w:r>
      <w:r>
        <w:rPr>
          <w:sz w:val="20"/>
          <w:b/>
          <w:rFonts w:ascii="Arial" w:cs="Arial" w:eastAsia="Arial" w:hAnsi="Arial"/>
        </w:rPr>
        <w:t xml:space="preserve"> </w:t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both"/>
        <w:ind w:firstLine="851" w:left="1273" w:right="0"/>
        <w:spacing w:after="0" w:before="0" w:line="100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2014-11-21T16:35:00.00Z</dcterms:created>
  <dc:creator>Câmara P.Leopoldo</dc:creator>
  <cp:lastModifiedBy>Câmara P.Leopoldo</cp:lastModifiedBy>
  <cp:lastPrinted>2014-11-24T17:45:55.00Z</cp:lastPrinted>
  <dcterms:modified xsi:type="dcterms:W3CDTF">2014-11-21T16:35:00.00Z</dcterms:modified>
  <cp:revision>2</cp:revision>
  <dc:title>EMENDA Comissão de Finanças Públicas 03.docx.docx</dc:title>
</cp:coreProperties>
</file>