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bookmarkStart w:id="0" w:name="_GoBack"/>
      <w:bookmarkEnd w:id="0"/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PONTUAÇÃO POR ATIVIDADE</w:t>
      </w:r>
    </w:p>
    <w:p>
      <w:pPr>
        <w:jc w:val="center"/>
        <w:rPr>
          <w:b/>
          <w:sz w:val="11"/>
          <w:szCs w:val="11"/>
        </w:rPr>
      </w:pPr>
    </w:p>
    <w:tbl>
      <w:tblPr>
        <w:tblStyle w:val="7"/>
        <w:tblW w:w="878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>
            <w:pPr>
              <w:spacing w:after="0" w:line="240" w:lineRule="auto"/>
              <w:jc w:val="center"/>
            </w:pPr>
            <w:r>
              <w:t>Secretaria Municipal de Segurança Pública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>
            <w:pPr>
              <w:spacing w:after="0" w:line="240" w:lineRule="auto"/>
              <w:jc w:val="center"/>
            </w:pPr>
            <w:r>
              <w:t>Relatório Mensal de Atividades, Apuração e controle de Pontos - RMA</w:t>
            </w:r>
          </w:p>
        </w:tc>
      </w:tr>
    </w:tbl>
    <w:p>
      <w:pPr>
        <w:jc w:val="center"/>
        <w:rPr>
          <w:b/>
        </w:rPr>
      </w:pPr>
    </w:p>
    <w:p>
      <w:pPr>
        <w:tabs>
          <w:tab w:val="left" w:pos="5670"/>
        </w:tabs>
        <w:jc w:val="right"/>
        <w:rPr>
          <w:b w:val="0"/>
          <w:bCs/>
        </w:rPr>
      </w:pPr>
      <w:r>
        <w:rPr>
          <w:b/>
        </w:rPr>
        <w:t xml:space="preserve"> </w:t>
      </w:r>
      <w:r>
        <w:rPr>
          <w:b w:val="0"/>
          <w:bCs/>
        </w:rPr>
        <w:t xml:space="preserve">   Mês de referência: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</w:tcPr>
          <w:p>
            <w:pPr>
              <w:tabs>
                <w:tab w:val="left" w:pos="5670"/>
              </w:tabs>
              <w:spacing w:after="0" w:line="240" w:lineRule="auto"/>
            </w:pPr>
            <w:r>
              <w:t xml:space="preserve">Servidor:  </w:t>
            </w:r>
          </w:p>
        </w:tc>
        <w:tc>
          <w:tcPr>
            <w:tcW w:w="3402" w:type="dxa"/>
          </w:tcPr>
          <w:p>
            <w:pPr>
              <w:tabs>
                <w:tab w:val="left" w:pos="5670"/>
              </w:tabs>
              <w:spacing w:after="0" w:line="240" w:lineRule="auto"/>
            </w:pPr>
            <w:r>
              <w:t xml:space="preserve">Matricula: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</w:tcPr>
          <w:p>
            <w:pPr>
              <w:tabs>
                <w:tab w:val="left" w:pos="5670"/>
              </w:tabs>
              <w:spacing w:after="0" w:line="240" w:lineRule="auto"/>
            </w:pPr>
            <w:r>
              <w:t>Cargo:</w:t>
            </w:r>
          </w:p>
        </w:tc>
        <w:tc>
          <w:tcPr>
            <w:tcW w:w="3402" w:type="dxa"/>
          </w:tcPr>
          <w:p>
            <w:pPr>
              <w:tabs>
                <w:tab w:val="left" w:pos="5670"/>
              </w:tabs>
              <w:spacing w:after="0" w:line="240" w:lineRule="auto"/>
            </w:pPr>
            <w:r>
              <w:t xml:space="preserve">Unidade de Exercício: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</w:tcPr>
          <w:p>
            <w:pPr>
              <w:tabs>
                <w:tab w:val="left" w:pos="5670"/>
              </w:tabs>
              <w:spacing w:after="0" w:line="240" w:lineRule="auto"/>
            </w:pPr>
            <w:r>
              <w:t>Coordenador:</w:t>
            </w:r>
          </w:p>
        </w:tc>
        <w:tc>
          <w:tcPr>
            <w:tcW w:w="3402" w:type="dxa"/>
          </w:tcPr>
          <w:p>
            <w:pPr>
              <w:tabs>
                <w:tab w:val="left" w:pos="5670"/>
              </w:tabs>
              <w:spacing w:after="0" w:line="240" w:lineRule="auto"/>
            </w:pPr>
            <w:r>
              <w:t>Gerente:</w:t>
            </w:r>
          </w:p>
        </w:tc>
      </w:tr>
    </w:tbl>
    <w:p>
      <w:pPr>
        <w:tabs>
          <w:tab w:val="left" w:pos="5670"/>
          <w:tab w:val="left" w:pos="6946"/>
        </w:tabs>
        <w:jc w:val="right"/>
        <w:rPr>
          <w:b/>
        </w:rPr>
      </w:pP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3740"/>
        <w:gridCol w:w="1050"/>
        <w:gridCol w:w="1200"/>
        <w:gridCol w:w="888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vMerge w:val="restart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Ite</w:t>
            </w:r>
            <w:r>
              <w:rPr>
                <w:rFonts w:hint="default"/>
                <w:b/>
                <w:lang w:val="pt-BR"/>
              </w:rPr>
              <w:t>m</w:t>
            </w:r>
          </w:p>
        </w:tc>
        <w:tc>
          <w:tcPr>
            <w:tcW w:w="3740" w:type="dxa"/>
            <w:vMerge w:val="restart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Especificação da atividade</w:t>
            </w:r>
          </w:p>
        </w:tc>
        <w:tc>
          <w:tcPr>
            <w:tcW w:w="1050" w:type="dxa"/>
            <w:vMerge w:val="restart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Unidade base de cálculo</w:t>
            </w:r>
          </w:p>
        </w:tc>
        <w:tc>
          <w:tcPr>
            <w:tcW w:w="1200" w:type="dxa"/>
            <w:vMerge w:val="restart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Pontuação Positiva</w:t>
            </w:r>
          </w:p>
        </w:tc>
        <w:tc>
          <w:tcPr>
            <w:tcW w:w="2080" w:type="dxa"/>
            <w:gridSpan w:val="2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Pontuação aferida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85" w:type="dxa"/>
            <w:vMerge w:val="continue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0" w:type="dxa"/>
            <w:vMerge w:val="continue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50" w:type="dxa"/>
            <w:vMerge w:val="continue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00" w:type="dxa"/>
            <w:vMerge w:val="continue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88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Quant.</w:t>
            </w:r>
          </w:p>
        </w:tc>
        <w:tc>
          <w:tcPr>
            <w:tcW w:w="1192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374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Atendimento à ocorrência de acidente de trânsito em via pública com emissão de relatório.</w:t>
            </w:r>
          </w:p>
        </w:tc>
        <w:tc>
          <w:tcPr>
            <w:tcW w:w="105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Unidade</w:t>
            </w:r>
          </w:p>
        </w:tc>
        <w:tc>
          <w:tcPr>
            <w:tcW w:w="120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888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92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02</w:t>
            </w:r>
          </w:p>
        </w:tc>
        <w:tc>
          <w:tcPr>
            <w:tcW w:w="374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Apoio à realização de feiras, eventos públicos ou privados e obras com ou sem bloqueio parcial da via, realizados no período diurno de 2º a 6º feira.</w:t>
            </w:r>
          </w:p>
        </w:tc>
        <w:tc>
          <w:tcPr>
            <w:tcW w:w="105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Unidade</w:t>
            </w:r>
          </w:p>
        </w:tc>
        <w:tc>
          <w:tcPr>
            <w:tcW w:w="120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888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92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03</w:t>
            </w:r>
          </w:p>
        </w:tc>
        <w:tc>
          <w:tcPr>
            <w:tcW w:w="374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Apoio à realização de feiras, eventos públicos ou privados e obras com ou sem bloqueio parcial da via, realizados no período noturno, compreendido após as 20:00 horas, de 2º a 6º feira.</w:t>
            </w:r>
          </w:p>
        </w:tc>
        <w:tc>
          <w:tcPr>
            <w:tcW w:w="105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Unidade</w:t>
            </w:r>
          </w:p>
        </w:tc>
        <w:tc>
          <w:tcPr>
            <w:tcW w:w="120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888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92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04</w:t>
            </w:r>
          </w:p>
        </w:tc>
        <w:tc>
          <w:tcPr>
            <w:tcW w:w="374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Apoio à realização de feiras, eventos públicos ou privados e obras com ou sem bloqueio parcial da via, realizados no período diurno, aos sábados, domingos, feriados e pontos facultativos.</w:t>
            </w:r>
          </w:p>
        </w:tc>
        <w:tc>
          <w:tcPr>
            <w:tcW w:w="105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Unidade</w:t>
            </w:r>
          </w:p>
        </w:tc>
        <w:tc>
          <w:tcPr>
            <w:tcW w:w="120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888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92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05</w:t>
            </w:r>
          </w:p>
        </w:tc>
        <w:tc>
          <w:tcPr>
            <w:tcW w:w="374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Apoio à realização de feiras, eventos públicos ou provados e obras com ou sem bloqueio parcial da via, realizados no período noturno, compreendido após as 18:00 horas, aos sábados, domingos, feriados e pontos facultativos</w:t>
            </w:r>
          </w:p>
        </w:tc>
        <w:tc>
          <w:tcPr>
            <w:tcW w:w="105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Unidade</w:t>
            </w:r>
          </w:p>
        </w:tc>
        <w:tc>
          <w:tcPr>
            <w:tcW w:w="120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888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92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06</w:t>
            </w:r>
          </w:p>
        </w:tc>
        <w:tc>
          <w:tcPr>
            <w:tcW w:w="374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Apoio à realização de feiras, eventos públicos ou privados e obras com bloqueio total da via, realizados no período, de 2º a 6º feira.</w:t>
            </w:r>
          </w:p>
        </w:tc>
        <w:tc>
          <w:tcPr>
            <w:tcW w:w="105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Unidade</w:t>
            </w:r>
          </w:p>
        </w:tc>
        <w:tc>
          <w:tcPr>
            <w:tcW w:w="120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888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92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07</w:t>
            </w:r>
          </w:p>
          <w:p>
            <w:pPr>
              <w:spacing w:after="0" w:line="240" w:lineRule="auto"/>
              <w:jc w:val="center"/>
            </w:pPr>
          </w:p>
        </w:tc>
        <w:tc>
          <w:tcPr>
            <w:tcW w:w="374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Apoio à realização de feiras, eventos públicos ou privados e obras com bloqueio total da via, realizados no período noturno, compreendido após as 20:00 horas, de 2º a 6º feira.</w:t>
            </w:r>
          </w:p>
        </w:tc>
        <w:tc>
          <w:tcPr>
            <w:tcW w:w="105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Unidade</w:t>
            </w:r>
          </w:p>
        </w:tc>
        <w:tc>
          <w:tcPr>
            <w:tcW w:w="120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888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92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08</w:t>
            </w:r>
          </w:p>
        </w:tc>
        <w:tc>
          <w:tcPr>
            <w:tcW w:w="374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Apoio à realização de feiras, eventos públicos ou provados e obras com bloqueio total da via, realizados no período diurno, aos sábados, domingos, feriados e pontos facultativos.</w:t>
            </w:r>
          </w:p>
        </w:tc>
        <w:tc>
          <w:tcPr>
            <w:tcW w:w="105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Unidade</w:t>
            </w:r>
          </w:p>
        </w:tc>
        <w:tc>
          <w:tcPr>
            <w:tcW w:w="120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888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92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09</w:t>
            </w:r>
          </w:p>
        </w:tc>
        <w:tc>
          <w:tcPr>
            <w:tcW w:w="374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Apoio à realização de feiras, eventos públicos ou privados e obras com bloqueio total da via, realizados no período noturno, compreendido após as 18:00 horas, aos sábados, domingos, feriados, e pontos facultativos.</w:t>
            </w:r>
          </w:p>
        </w:tc>
        <w:tc>
          <w:tcPr>
            <w:tcW w:w="105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Unidade</w:t>
            </w:r>
          </w:p>
        </w:tc>
        <w:tc>
          <w:tcPr>
            <w:tcW w:w="120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888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92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374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 xml:space="preserve">Participação em palestras ou programas de treinamento e aperfeiçoamento, </w:t>
            </w:r>
            <w:r>
              <w:rPr>
                <w:rFonts w:hint="default"/>
                <w:lang w:val="pt-BR"/>
              </w:rPr>
              <w:t>como</w:t>
            </w:r>
            <w:r>
              <w:t xml:space="preserve"> docente.</w:t>
            </w:r>
          </w:p>
        </w:tc>
        <w:tc>
          <w:tcPr>
            <w:tcW w:w="105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Unidade</w:t>
            </w:r>
          </w:p>
        </w:tc>
        <w:tc>
          <w:tcPr>
            <w:tcW w:w="120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888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92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374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Participação em palestras ou programas de treinamento e aperfeiçoamento, na qualidade de docente. (fora do horário de expediente - determinação da Secretaria)</w:t>
            </w:r>
          </w:p>
        </w:tc>
        <w:tc>
          <w:tcPr>
            <w:tcW w:w="105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Unidade</w:t>
            </w:r>
          </w:p>
        </w:tc>
        <w:tc>
          <w:tcPr>
            <w:tcW w:w="120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888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92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374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Participação em palestras ou programas de treinamento e aperfeiçoamento, na qualidade de discente. (fora do horário de expediente por convocação)</w:t>
            </w:r>
          </w:p>
        </w:tc>
        <w:tc>
          <w:tcPr>
            <w:tcW w:w="105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Unidade</w:t>
            </w:r>
          </w:p>
        </w:tc>
        <w:tc>
          <w:tcPr>
            <w:tcW w:w="120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888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92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374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Controle do fluxo de veículos em via pública, no caso de semáforo defeituoso, ineficiente ou inoperante, ou desligado para manutenção.</w:t>
            </w:r>
          </w:p>
        </w:tc>
        <w:tc>
          <w:tcPr>
            <w:tcW w:w="105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Unidade</w:t>
            </w:r>
          </w:p>
        </w:tc>
        <w:tc>
          <w:tcPr>
            <w:tcW w:w="120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888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92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374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Participação em Blitz/Operação educativa ou repressiva de trânsito (operação especial designada pela coordenação).</w:t>
            </w:r>
          </w:p>
        </w:tc>
        <w:tc>
          <w:tcPr>
            <w:tcW w:w="105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Unidade</w:t>
            </w:r>
          </w:p>
        </w:tc>
        <w:tc>
          <w:tcPr>
            <w:tcW w:w="120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888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92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374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Participação em reunião para instrução ou repasse de informações (fora do horário de expediente).</w:t>
            </w:r>
          </w:p>
        </w:tc>
        <w:tc>
          <w:tcPr>
            <w:tcW w:w="105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Unidade</w:t>
            </w:r>
          </w:p>
        </w:tc>
        <w:tc>
          <w:tcPr>
            <w:tcW w:w="120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888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92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5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374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Coleta ou pesquisa, em ambiente externo, de dados estatísticos de transito ou transporte.</w:t>
            </w:r>
          </w:p>
        </w:tc>
        <w:tc>
          <w:tcPr>
            <w:tcW w:w="105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Unidade</w:t>
            </w:r>
          </w:p>
        </w:tc>
        <w:tc>
          <w:tcPr>
            <w:tcW w:w="120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888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92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374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Permanência no expediente interno para realização de serviços administrativos de fiscalização, por determinação da chefia</w:t>
            </w:r>
          </w:p>
        </w:tc>
        <w:tc>
          <w:tcPr>
            <w:tcW w:w="105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Unidade</w:t>
            </w:r>
          </w:p>
        </w:tc>
        <w:tc>
          <w:tcPr>
            <w:tcW w:w="120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888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92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374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Condução de veículos da Secretaria Municipal de Segurança Pública</w:t>
            </w:r>
          </w:p>
        </w:tc>
        <w:tc>
          <w:tcPr>
            <w:tcW w:w="105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Unidade</w:t>
            </w:r>
          </w:p>
        </w:tc>
        <w:tc>
          <w:tcPr>
            <w:tcW w:w="120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888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92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374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Atendimento à convocação extraordinária para plantão (pós-expediente de 2º a 6º feira).</w:t>
            </w:r>
          </w:p>
        </w:tc>
        <w:tc>
          <w:tcPr>
            <w:tcW w:w="105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Unidade</w:t>
            </w:r>
          </w:p>
        </w:tc>
        <w:tc>
          <w:tcPr>
            <w:tcW w:w="120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888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92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374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Apuração de reclamação ou sugestão de usuários em ambiente externo, com emissão de parecer técnico.</w:t>
            </w:r>
          </w:p>
        </w:tc>
        <w:tc>
          <w:tcPr>
            <w:tcW w:w="105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Unidade</w:t>
            </w:r>
          </w:p>
        </w:tc>
        <w:tc>
          <w:tcPr>
            <w:tcW w:w="120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888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92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374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Liberação da via e/ou calçada bloqueada por veículo irregular.</w:t>
            </w:r>
          </w:p>
        </w:tc>
        <w:tc>
          <w:tcPr>
            <w:tcW w:w="105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Unidade</w:t>
            </w:r>
          </w:p>
        </w:tc>
        <w:tc>
          <w:tcPr>
            <w:tcW w:w="120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888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92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jc w:val="center"/>
              <w:rPr>
                <w:b/>
              </w:rPr>
            </w:pPr>
          </w:p>
        </w:tc>
      </w:tr>
    </w:tbl>
    <w:p>
      <w:pPr>
        <w:tabs>
          <w:tab w:val="left" w:pos="5670"/>
          <w:tab w:val="left" w:pos="6946"/>
        </w:tabs>
        <w:jc w:val="center"/>
        <w:rPr>
          <w:b/>
        </w:rPr>
      </w:pPr>
    </w:p>
    <w:p>
      <w:pPr>
        <w:tabs>
          <w:tab w:val="left" w:pos="5670"/>
          <w:tab w:val="left" w:pos="6946"/>
        </w:tabs>
        <w:rPr>
          <w:b/>
        </w:rPr>
      </w:pP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0"/>
        <w:gridCol w:w="990"/>
        <w:gridCol w:w="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Pontuação aferida (somatória dos itens 1 a 22)</w:t>
            </w:r>
          </w:p>
        </w:tc>
        <w:tc>
          <w:tcPr>
            <w:tcW w:w="99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rPr>
                <w:b/>
              </w:rPr>
            </w:pPr>
          </w:p>
        </w:tc>
        <w:tc>
          <w:tcPr>
            <w:tcW w:w="865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</w:pPr>
            <w:r>
              <w:t xml:space="preserve">Transporte de pontuação excedida (RMA anterior) mês referência: </w:t>
            </w:r>
          </w:p>
        </w:tc>
        <w:tc>
          <w:tcPr>
            <w:tcW w:w="99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</w:pPr>
          </w:p>
        </w:tc>
        <w:tc>
          <w:tcPr>
            <w:tcW w:w="865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</w:pPr>
          </w:p>
        </w:tc>
        <w:tc>
          <w:tcPr>
            <w:tcW w:w="99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</w:pPr>
          </w:p>
        </w:tc>
        <w:tc>
          <w:tcPr>
            <w:tcW w:w="865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</w:pPr>
            <w:r>
              <w:t>Pontuação geral obtida</w:t>
            </w:r>
          </w:p>
        </w:tc>
        <w:tc>
          <w:tcPr>
            <w:tcW w:w="990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</w:pPr>
          </w:p>
        </w:tc>
        <w:tc>
          <w:tcPr>
            <w:tcW w:w="865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</w:pPr>
          </w:p>
        </w:tc>
      </w:tr>
    </w:tbl>
    <w:p>
      <w:pPr>
        <w:tabs>
          <w:tab w:val="left" w:pos="5670"/>
          <w:tab w:val="left" w:pos="6946"/>
        </w:tabs>
      </w:pP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</w:pPr>
            <w:r>
              <w:t>Data:</w:t>
            </w: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</w:pPr>
            <w:r>
              <w:t>Assinatura do servidor:</w:t>
            </w:r>
          </w:p>
        </w:tc>
      </w:tr>
    </w:tbl>
    <w:p>
      <w:pPr>
        <w:tabs>
          <w:tab w:val="left" w:pos="5670"/>
          <w:tab w:val="left" w:pos="6946"/>
        </w:tabs>
      </w:pPr>
    </w:p>
    <w:p>
      <w:pPr>
        <w:tabs>
          <w:tab w:val="left" w:pos="5670"/>
          <w:tab w:val="left" w:pos="6946"/>
        </w:tabs>
      </w:pP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</w:tcPr>
          <w:p>
            <w:pPr>
              <w:tabs>
                <w:tab w:val="left" w:pos="5670"/>
                <w:tab w:val="left" w:pos="6946"/>
              </w:tabs>
              <w:spacing w:after="0" w:line="240" w:lineRule="auto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</w:pP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</w:pPr>
            <w:r>
              <w:t xml:space="preserve">  Gerência de Trânsito                                                                       Sec. Mun. de Segurança Pública</w:t>
            </w: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</w:pPr>
            <w:r>
              <w:t>(assinatura e carimbo)                                                                                (assinatura e carimbo)</w:t>
            </w:r>
          </w:p>
          <w:p>
            <w:pPr>
              <w:tabs>
                <w:tab w:val="left" w:pos="5670"/>
                <w:tab w:val="left" w:pos="6946"/>
              </w:tabs>
              <w:spacing w:after="0" w:line="240" w:lineRule="auto"/>
            </w:pPr>
          </w:p>
        </w:tc>
      </w:tr>
    </w:tbl>
    <w:p>
      <w:pPr>
        <w:tabs>
          <w:tab w:val="left" w:pos="5670"/>
          <w:tab w:val="left" w:pos="6946"/>
        </w:tabs>
      </w:pPr>
    </w:p>
    <w:sectPr>
      <w:headerReference r:id="rId3" w:type="default"/>
      <w:pgSz w:w="11906" w:h="16838"/>
      <w:pgMar w:top="993" w:right="2692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252"/>
        <w:tab w:val="clear" w:pos="8504"/>
      </w:tabs>
      <w:jc w:val="center"/>
    </w:pPr>
    <w:r>
      <w:rPr>
        <w:b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78865" cy="1002665"/>
              <wp:effectExtent l="0" t="0" r="6985" b="698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8865" cy="1002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200"/>
                          </w:pPr>
                          <w:r>
                            <w:drawing>
                              <wp:inline distT="0" distB="0" distL="114300" distR="114300">
                                <wp:extent cx="857250" cy="887095"/>
                                <wp:effectExtent l="0" t="0" r="0" b="825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488" t="-417" r="-488" b="-41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57250" cy="88709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8425" tIns="68" rIns="98425" bIns="68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37.2pt;margin-top:-15.95pt;height:78.95pt;width:84.95pt;z-index:251658240;mso-width-relative:page;mso-height-relative:page;" fillcolor="#FFFFFF" filled="t" stroked="f" coordsize="21600,21600" o:gfxdata="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b2V7E&#10;2AAAAAoBAAAPAAAAAAAAAAEAIAAAACIAAABkcnMvZG93bnJldi54bWxQSwECFAAUAAAACACHTuJA&#10;of03RK8BAABdAwAADgAAAAAAAAABACAAAAAnAQAAZHJzL2Uyb0RvYy54bWxQSwUGAAAAAAYABgBZ&#10;AQAASAUAAAAA&#10;">
              <v:fill on="t" focussize="0,0"/>
              <v:stroke on="f"/>
              <v:imagedata o:title=""/>
              <o:lock v:ext="edit" aspectratio="f"/>
              <v:textbox inset="7.75pt,0.00535433070866142pt,7.75pt,0.00535433070866142pt">
                <w:txbxContent>
                  <w:p>
                    <w:pPr>
                      <w:spacing w:before="0" w:after="200"/>
                    </w:pPr>
                    <w:r>
                      <w:drawing>
                        <wp:inline distT="0" distB="0" distL="114300" distR="114300">
                          <wp:extent cx="857250" cy="887095"/>
                          <wp:effectExtent l="0" t="0" r="0" b="825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rcRect l="-488" t="-417" r="-488" b="-41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57250" cy="8870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  <w:b/>
        <w:sz w:val="28"/>
        <w:lang w:val="pt-BR"/>
      </w:rPr>
      <w:t xml:space="preserve">          </w:t>
    </w:r>
    <w:r>
      <w:rPr>
        <w:b/>
        <w:sz w:val="28"/>
      </w:rPr>
      <w:t>PREFEITURA DO MUNICÍPIO DE PEDRO LEOPOLDO</w:t>
    </w:r>
  </w:p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9CA"/>
    <w:rsid w:val="001909CA"/>
    <w:rsid w:val="00310620"/>
    <w:rsid w:val="003A63C3"/>
    <w:rsid w:val="00490FD2"/>
    <w:rsid w:val="006C1A3A"/>
    <w:rsid w:val="00805A73"/>
    <w:rsid w:val="008060AE"/>
    <w:rsid w:val="00832A56"/>
    <w:rsid w:val="00A45988"/>
    <w:rsid w:val="00B65D68"/>
    <w:rsid w:val="00F346C4"/>
    <w:rsid w:val="121D5E52"/>
    <w:rsid w:val="383652FF"/>
    <w:rsid w:val="457A659C"/>
    <w:rsid w:val="72C1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3"/>
    <w:semiHidden/>
    <w:unhideWhenUsed/>
    <w:uiPriority w:val="99"/>
    <w:pPr>
      <w:tabs>
        <w:tab w:val="center" w:pos="4252"/>
        <w:tab w:val="center" w:pos="4819"/>
        <w:tab w:val="right" w:pos="8504"/>
        <w:tab w:val="right" w:pos="9638"/>
      </w:tabs>
    </w:pPr>
  </w:style>
  <w:style w:type="paragraph" w:customStyle="1" w:styleId="3">
    <w:name w:val="Cabeçalho e Rodapé"/>
    <w:basedOn w:val="1"/>
    <w:uiPriority w:val="6"/>
    <w:pPr>
      <w:suppressLineNumbers/>
      <w:tabs>
        <w:tab w:val="center" w:pos="4819"/>
        <w:tab w:val="right" w:pos="9638"/>
      </w:tabs>
    </w:pPr>
  </w:style>
  <w:style w:type="paragraph" w:styleId="4">
    <w:name w:val="footer"/>
    <w:basedOn w:val="1"/>
    <w:semiHidden/>
    <w:unhideWhenUsed/>
    <w:uiPriority w:val="99"/>
    <w:pPr>
      <w:tabs>
        <w:tab w:val="center" w:pos="4252"/>
        <w:tab w:val="right" w:pos="8504"/>
      </w:tabs>
    </w:p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651</Words>
  <Characters>3516</Characters>
  <Lines>29</Lines>
  <Paragraphs>8</Paragraphs>
  <TotalTime>1</TotalTime>
  <ScaleCrop>false</ScaleCrop>
  <LinksUpToDate>false</LinksUpToDate>
  <CharactersWithSpaces>4159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2020-03-16T21:42:00Z</dcterms:created>
  <dc:creator>Michelle Cristina Gomes Morais</dc:creator>
  <cp:lastModifiedBy>hssantos</cp:lastModifiedBy>
  <dcterms:modified xsi:type="dcterms:W3CDTF">2020-03-23T16:10:44Z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1046-11.2.0.9232</vt:lpwstr>
  </property>
</Properties>
</file>