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>Projeto de Lei n.º 38/2015</w:t>
      </w:r>
    </w:p>
    <w:p>
      <w:pPr>
        <w:pStyle w:val="style0"/>
        <w:jc w:val="both"/>
        <w:ind w:hanging="0" w:left="3402" w:right="0"/>
        <w:spacing w:after="0" w:before="0" w:line="100" w:lineRule="atLeast"/>
      </w:pPr>
      <w:r>
        <w:rPr>
          <w:sz w:val="24"/>
          <w:b/>
          <w:szCs w:val="24"/>
          <w:rFonts w:ascii="Arial" w:cs="Arial" w:hAnsi="Arial"/>
        </w:rPr>
        <w:t>“</w:t>
      </w:r>
      <w:r>
        <w:rPr>
          <w:sz w:val="20"/>
          <w:b/>
          <w:szCs w:val="20"/>
          <w:rFonts w:ascii="Arial" w:cs="Arial" w:hAnsi="Arial"/>
        </w:rPr>
        <w:t>Altera o Anexo IV, da Lei 2.902, de 26 de outubro de 2006, e dá outras providências”.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>A CÂMARA MUNICIPAL DE PEDRO LEOPOLDO, por seus representantes legais, aprova e eu, Prefeito Municipal, sanciono a seguinte Lei:</w:t>
      </w:r>
    </w:p>
    <w:p>
      <w:pPr>
        <w:pStyle w:val="style0"/>
        <w:jc w:val="both"/>
        <w:ind w:firstLine="851" w:left="0" w:right="0"/>
        <w:spacing w:line="360" w:lineRule="atLeast"/>
      </w:pPr>
      <w:r>
        <w:rPr>
          <w:sz w:val="24"/>
          <w:szCs w:val="24"/>
          <w:rFonts w:ascii="Arial" w:cs="Arial" w:hAnsi="Arial"/>
        </w:rPr>
        <w:t>Art. 1.º Fica alterado o símbolo de vencimento do cargo de Contador, constante do Anexo IV, da Lei 2.902, de outubro de 2006, passando o mesmo a viger com a seguinte redação:</w:t>
      </w:r>
      <w:r>
        <w:rPr>
          <w:rFonts w:ascii="Arial" w:cs="Arial" w:eastAsia="Times New Roman" w:hAnsi="Arial"/>
          <w:lang w:eastAsia="ar-SA"/>
        </w:rPr>
        <w:t xml:space="preserve"> </w:t>
      </w:r>
    </w:p>
    <w:p>
      <w:pPr>
        <w:pStyle w:val="style0"/>
      </w:pPr>
      <w:r>
        <w:rPr>
          <w:sz w:val="24"/>
          <w:b/>
          <w:szCs w:val="24"/>
          <w:bCs/>
          <w:rFonts w:ascii="Arial" w:cs="Arial" w:eastAsia="Times New Roman" w:hAnsi="Arial"/>
          <w:lang w:eastAsia="ar-SA"/>
        </w:rPr>
        <w:t>Escolaridade: Curso Superior em Contabilidade com Registro no Conselho Regional de Contabilidade</w:t>
      </w:r>
    </w:p>
    <w:tbl>
      <w:tblPr>
        <w:tblBorders>
          <w:top w:color="000001" w:space="0" w:sz="4" w:val="single"/>
          <w:left w:color="000001" w:space="0" w:sz="4" w:val="single"/>
          <w:bottom w:color="00000A" w:space="0" w:sz="4" w:val="single"/>
        </w:tblBorders>
        <w:jc w:val="left"/>
      </w:tblPr>
      <w:tblGrid>
        <w:gridCol w:w="2879"/>
        <w:gridCol w:w="4139"/>
        <w:gridCol w:w="5561"/>
        <w:gridCol w:w="7566"/>
        <w:gridCol w:w="9082"/>
      </w:tblGrid>
      <w:tr>
        <w:trPr>
          <w:trHeight w:hRule="atLeast" w:val="555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b/>
                <w:bCs/>
                <w:rFonts w:ascii="Arial" w:cs="Arial" w:eastAsia="Times New Roman" w:hAnsi="Arial"/>
                <w:lang w:eastAsia="ar-SA"/>
              </w:rPr>
              <w:t>Denominação do Cargo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b/>
                <w:bCs/>
                <w:rFonts w:ascii="Arial" w:cs="Arial" w:eastAsia="Times New Roman" w:hAnsi="Arial"/>
                <w:lang w:eastAsia="ar-SA"/>
              </w:rPr>
              <w:t>Nível de Promoção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b/>
                <w:bCs/>
                <w:rFonts w:ascii="Arial" w:cs="Arial" w:eastAsia="Times New Roman" w:hAnsi="Arial"/>
                <w:lang w:eastAsia="ar-SA"/>
              </w:rPr>
              <w:t>Símbolo de Vencimento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b/>
                <w:bCs/>
                <w:rFonts w:ascii="Arial" w:cs="Arial" w:eastAsia="Times New Roman" w:hAnsi="Arial"/>
                <w:lang w:eastAsia="ar-SA"/>
              </w:rPr>
              <w:t>Recrutamento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b/>
                <w:bCs/>
                <w:rFonts w:ascii="Arial" w:cs="Arial" w:eastAsia="Times New Roman" w:hAnsi="Arial"/>
                <w:lang w:eastAsia="ar-SA"/>
              </w:rPr>
              <w:t>Número de vagas</w:t>
            </w:r>
          </w:p>
        </w:tc>
      </w:tr>
      <w:tr>
        <w:trPr>
          <w:trHeight w:hRule="atLeast" w:val="276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Contador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CE26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Restrito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01</w:t>
            </w:r>
          </w:p>
        </w:tc>
      </w:tr>
      <w:tr>
        <w:trPr>
          <w:trHeight w:hRule="atLeast" w:val="240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Contador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II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CE27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Restrito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01</w:t>
            </w:r>
          </w:p>
        </w:tc>
      </w:tr>
      <w:tr>
        <w:trPr>
          <w:trHeight w:hRule="atLeast" w:val="276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Contador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III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CE28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Restrito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01</w:t>
            </w:r>
          </w:p>
        </w:tc>
      </w:tr>
      <w:tr>
        <w:trPr>
          <w:trHeight w:hRule="atLeast" w:val="276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Contador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IV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CE29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Restrito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01</w:t>
            </w:r>
          </w:p>
        </w:tc>
      </w:tr>
      <w:tr>
        <w:trPr>
          <w:trHeight w:hRule="atLeast" w:val="276"/>
          <w:cantSplit w:val="off"/>
        </w:trPr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287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Contador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4139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V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5561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CE30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</w:tcBorders>
            <w:shd w:fill="auto"/>
            <w:tcW w:type="dxa" w:w="7566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Restrito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auto"/>
            <w:tcW w:type="dxa" w:w="9082"/>
            <w:tcMar>
              <w:top w:type="dxa" w:w="0"/>
              <w:left w:type="dxa" w:w="70"/>
              <w:bottom w:type="dxa" w:w="0"/>
              <w:right w:type="dxa" w:w="70"/>
            </w:tcMar>
          </w:tcPr>
          <w:p>
            <w:pPr>
              <w:pStyle w:val="style0"/>
              <w:jc w:val="both"/>
              <w:widowControl/>
              <w:suppressAutoHyphens w:val="true"/>
              <w:spacing w:after="0" w:before="0" w:line="100" w:lineRule="atLeast"/>
            </w:pPr>
            <w:r>
              <w:rPr>
                <w:rFonts w:ascii="Arial" w:cs="Arial" w:eastAsia="Times New Roman" w:hAnsi="Arial"/>
                <w:lang w:eastAsia="ar-SA"/>
              </w:rPr>
              <w:t>01</w:t>
            </w:r>
          </w:p>
        </w:tc>
      </w:tr>
    </w:tbl>
    <w:p>
      <w:pPr>
        <w:pStyle w:val="style0"/>
        <w:jc w:val="both"/>
        <w:widowControl/>
        <w:suppressAutoHyphens w:val="true"/>
        <w:spacing w:after="0" w:before="0" w:line="100" w:lineRule="atLeast"/>
      </w:pPr>
      <w:r>
        <w:rPr>
          <w:rFonts w:ascii="Arial" w:cs="Arial" w:eastAsia="Times New Roman" w:hAnsi="Arial"/>
          <w:lang w:eastAsia="ar-SA"/>
        </w:rPr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Art. 2.º As despesas decorrentes desta lei serão acobertadas pela dotação e rubrica próprias do Orçamento da Câmara Municipal de Pedro Leopoldo.</w:t>
      </w:r>
    </w:p>
    <w:p>
      <w:pPr>
        <w:pStyle w:val="style0"/>
        <w:jc w:val="both"/>
        <w:spacing w:line="360" w:lineRule="atLeast"/>
      </w:pPr>
      <w:r>
        <w:rPr>
          <w:rFonts w:ascii="Arial" w:cs="Arial" w:hAnsi="Arial"/>
        </w:rPr>
        <w:t>Art.3.º Revogadas as disposições em contrário, esta Lei entra em vigor na data de sua publicação.</w:t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  <w:t>Sala das Sessões, 9 de novembro de 2014.</w:t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  <w:t>Aziz José Ferreira</w:t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  <w:t>Mayron César Tavarres Torres</w:t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  <w:t>Euclides Teixeira Neto</w:t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</w:r>
    </w:p>
    <w:p>
      <w:pPr>
        <w:pStyle w:val="style0"/>
        <w:jc w:val="both"/>
        <w:ind w:firstLine="708" w:left="1416" w:right="0"/>
      </w:pPr>
      <w:r>
        <w:rPr>
          <w:rFonts w:ascii="Arial" w:cs="Arial" w:hAnsi="Arial"/>
        </w:rPr>
        <w:t xml:space="preserve">Leonardo Pereira Ribeiro </w:t>
      </w:r>
    </w:p>
    <w:p>
      <w:pPr>
        <w:pStyle w:val="style0"/>
        <w:jc w:val="both"/>
        <w:ind w:firstLine="708" w:left="1416" w:right="0"/>
      </w:pPr>
      <w:r>
        <w:rPr>
          <w:b/>
          <w:rFonts w:ascii="Arial" w:cs="Arial" w:hAnsi="Arial"/>
        </w:rPr>
      </w:r>
    </w:p>
    <w:p>
      <w:pPr>
        <w:pStyle w:val="style0"/>
        <w:jc w:val="both"/>
        <w:ind w:firstLine="708" w:left="2124" w:right="0"/>
      </w:pPr>
      <w:r>
        <w:rPr>
          <w:b/>
          <w:rFonts w:ascii="Arial" w:cs="Arial" w:hAnsi="Arial"/>
        </w:rPr>
        <w:t>Justificativa</w:t>
      </w:r>
    </w:p>
    <w:p>
      <w:pPr>
        <w:pStyle w:val="style0"/>
        <w:jc w:val="both"/>
        <w:ind w:firstLine="851" w:left="0" w:right="0"/>
      </w:pPr>
      <w:r>
        <w:rPr>
          <w:rFonts w:ascii="Arial" w:cs="Arial" w:hAnsi="Arial"/>
        </w:rPr>
      </w:r>
    </w:p>
    <w:p>
      <w:pPr>
        <w:pStyle w:val="style0"/>
        <w:jc w:val="both"/>
        <w:ind w:firstLine="851" w:left="0" w:right="0"/>
        <w:spacing w:line="360" w:lineRule="atLeast"/>
      </w:pPr>
      <w:r>
        <w:rPr>
          <w:rFonts w:ascii="Arial" w:cs="Arial" w:hAnsi="Arial"/>
        </w:rPr>
        <w:t xml:space="preserve">Na esteira da proposta de reestruturação e ampliação das atividades institucionais da Câmara Municipal de Pedro Leopoldo, a presente proposta visa à melhoria da remuneração do cargo efetivo de Contador, a ser ofertado em Concurso Público de Provas e Títulos, de modo a possibilitar torná-lo mais atrativo para os futuros candidatos e, consequente, arregimentar concorrentes mais qualificados para o exercício das funções do cargo junto à instituição. </w:t>
      </w:r>
    </w:p>
    <w:p>
      <w:pPr>
        <w:pStyle w:val="style0"/>
        <w:jc w:val="both"/>
        <w:ind w:firstLine="851" w:left="0" w:right="0"/>
        <w:spacing w:line="360" w:lineRule="atLeast"/>
      </w:pPr>
      <w:r>
        <w:rPr>
          <w:rFonts w:ascii="Arial" w:cs="Arial" w:hAnsi="Arial"/>
        </w:rPr>
        <w:t>Neste sentido, está sendo alterado o símbolo de vencimento do referido cargo, passando o nível inicial de 21 para 26, conforme tabela atualizada constante do Anexo VI  de Lei Municipal 3.314, de 30 de junho de 2015.</w:t>
      </w:r>
    </w:p>
    <w:p>
      <w:pPr>
        <w:pStyle w:val="style0"/>
        <w:jc w:val="both"/>
        <w:ind w:firstLine="851" w:left="0" w:right="0"/>
        <w:spacing w:line="360" w:lineRule="atLeast"/>
      </w:pPr>
      <w:r>
        <w:rPr>
          <w:rFonts w:ascii="Arial" w:cs="Arial" w:hAnsi="Arial"/>
        </w:rPr>
        <w:t>Certos de que a presente proposta contribuirá para a melhoria do desempenho dos papeis institucionais da Câmara Municipal, contamos com o apoio e aprovação de todos os vereadores desta casa.</w:t>
      </w:r>
    </w:p>
    <w:p>
      <w:pPr>
        <w:pStyle w:val="style0"/>
        <w:jc w:val="both"/>
        <w:ind w:firstLine="851" w:left="0" w:right="0"/>
        <w:spacing w:line="36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851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auto"/>
      <w:sz w:val="20"/>
      <w:szCs w:val="20"/>
      <w:rFonts w:ascii="Times New Roman" w:cs="Times New Roman" w:eastAsia="Times New Roman" w:hAnsi="Times New Roman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2015-11-05T10:00:00.00Z</dcterms:created>
  <dc:creator>Câmara P.Leopoldo</dc:creator>
  <cp:lastModifiedBy>Câmara P.Leopoldo</cp:lastModifiedBy>
  <cp:lastPrinted>2015-11-05T11:09:00.00Z</cp:lastPrinted>
  <dcterms:modified xsi:type="dcterms:W3CDTF">2015-11-05T11:10:00.00Z</dcterms:modified>
  <cp:revision>4</cp:revision>
</cp:coreProperties>
</file>