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Rafael Vieira Faria </w:t>
      </w:r>
    </w:p>
    <w:p w:rsidR="00B32AEA" w:rsidRPr="00053DCA" w:rsidRDefault="00B32AEA" w:rsidP="00B32AE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Presidente da Câmara Municipal </w:t>
      </w:r>
    </w:p>
    <w:p w:rsidR="00B32AEA" w:rsidRPr="002325FA" w:rsidRDefault="00B32AEA" w:rsidP="002325FA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>Pedro Leopoldo/MG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PROJETO DE LEI Nº __ / __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bookmarkStart w:id="0" w:name="_GoBack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Dispõe sobre a padronização, fiscalização e aplicação de penalidades em obras que impliquem intervenção na malha viária do Município e dá outras providências.</w:t>
      </w:r>
    </w:p>
    <w:bookmarkEnd w:id="0"/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1º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Fica instituído, no âmbito do Município, o Protocolo Obrigatório de Obras Viárias, aplicável a todas as obras e serviços que impliquem intervenção no asfalto, fechamento total ou parcial de vias públicas, abertura de valas, cortes no pavimento ou geração de sujeira, poeira e resíduos.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2º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O disposto nesta Lei aplica-se: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às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obras executadas diretamente pela Administração Pública Municipal;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II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às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obras executadas por empresas contratadas, permissionárias ou concessionárias de serviços públicos, incluindo, obrigatoriamente, a COPASA ou qualquer outra concessionária que atue no Município.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3º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O Protocolo Obrigatório de Obras Viárias deverá conter, no mínimo, as seguintes exigências: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fechamento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adequado do asfalto e da via, com sinalização visível e conforme normas técnicas de segurança viária;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II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lavagem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da via pública com caminhão-pipa, sempre que a obra gerar acúmulo de terra, lama, poeira ou resíduos;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III – recomposição imediata e adequada do pavimento asfáltico, garantindo qualidade igual ou superior à condição anterior à intervenção;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IV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remoção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integral de entulhos e resíduos, deixando a via limpa e segura para o tráfego de veículos e pedestres;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V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cumprimento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de prazo máximo para conclusão da obra e restauração total da via, a ser definido pela Secretaria Municipal de Obras.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lastRenderedPageBreak/>
        <w:t>Art. 4º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Compete à Secretaria Municipal de Obras, ou órgão equivalente: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fiscalizar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o cumprimento desta Lei;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II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estabelecer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normas complementares e procedimentos técnicos;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III – notificar os responsáveis em caso de irregularidades;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IV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aplicar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as penalidades previstas.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5º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O descumprimento das disposições desta Lei sujeitará o responsável às seguintes penalidades, de forma progressiva: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notificação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formal para regularização imediata;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II – </w:t>
      </w:r>
      <w:proofErr w:type="gramStart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multa</w:t>
      </w:r>
      <w:proofErr w:type="gramEnd"/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 xml:space="preserve"> administrativa, conforme regulamento a ser definido pelo Poder Executivo;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III – interdição da obra, total ou parcial, até a completa regularização dos serviços, quando constatado risco à segurança pública, prejuízo aos moradores ou reincidência no descumprimento.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6º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 liberação da via pública somente ocorrerá após vistoria e aprovação do órgão fiscalizador, atestando o cumprimento integral do protocolo estabelecido nesta Lei.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Art. 7º</w:t>
      </w:r>
    </w:p>
    <w:p w:rsidR="00A52324" w:rsidRP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043999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52324"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  <w:t>As despesas decorrentes da execução desta Lei correrão por conta das dotações orçamentárias próprias, podendo ser suplementadas, se necessário.</w:t>
      </w:r>
    </w:p>
    <w:p w:rsidR="00A52324" w:rsidRDefault="00A52324" w:rsidP="00A52324">
      <w:pPr>
        <w:spacing w:after="0" w:line="240" w:lineRule="auto"/>
        <w:jc w:val="both"/>
        <w:rPr>
          <w:rStyle w:val="Forte"/>
          <w:rFonts w:asciiTheme="minorHAnsi" w:eastAsiaTheme="majorEastAsia" w:hAnsiTheme="minorHAnsi" w:cstheme="minorHAnsi"/>
          <w:b w:val="0"/>
          <w:bCs w:val="0"/>
          <w:color w:val="000000" w:themeColor="text1"/>
          <w:sz w:val="24"/>
          <w:szCs w:val="24"/>
        </w:rPr>
      </w:pPr>
    </w:p>
    <w:p w:rsidR="00A52324" w:rsidRDefault="00A52324" w:rsidP="00A5232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B32AEA" w:rsidRDefault="00B32AEA" w:rsidP="00D6251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Sala das Sessões,</w:t>
      </w:r>
      <w:r w:rsidR="00A52324">
        <w:rPr>
          <w:rFonts w:cstheme="minorHAnsi"/>
          <w:sz w:val="24"/>
          <w:szCs w:val="24"/>
        </w:rPr>
        <w:t xml:space="preserve"> 20</w:t>
      </w:r>
      <w:r w:rsidR="00B25C7C">
        <w:rPr>
          <w:rFonts w:cstheme="minorHAnsi"/>
          <w:sz w:val="24"/>
          <w:szCs w:val="24"/>
        </w:rPr>
        <w:t xml:space="preserve"> </w:t>
      </w:r>
      <w:r w:rsidR="004B2227">
        <w:rPr>
          <w:rFonts w:cstheme="minorHAnsi"/>
          <w:sz w:val="24"/>
          <w:szCs w:val="24"/>
        </w:rPr>
        <w:t xml:space="preserve">de </w:t>
      </w:r>
      <w:proofErr w:type="gramStart"/>
      <w:r w:rsidR="004B2227">
        <w:rPr>
          <w:rFonts w:cstheme="minorHAnsi"/>
          <w:sz w:val="24"/>
          <w:szCs w:val="24"/>
        </w:rPr>
        <w:t>Janeiro</w:t>
      </w:r>
      <w:proofErr w:type="gramEnd"/>
      <w:r w:rsidR="000776A8">
        <w:rPr>
          <w:rFonts w:cstheme="minorHAnsi"/>
          <w:sz w:val="24"/>
          <w:szCs w:val="24"/>
        </w:rPr>
        <w:t xml:space="preserve"> </w:t>
      </w:r>
      <w:r w:rsidR="004B2227">
        <w:rPr>
          <w:rFonts w:cstheme="minorHAnsi"/>
          <w:sz w:val="24"/>
          <w:szCs w:val="24"/>
        </w:rPr>
        <w:t>de 2026</w:t>
      </w:r>
    </w:p>
    <w:p w:rsidR="00B32AEA" w:rsidRPr="00053DCA" w:rsidRDefault="00B32AEA" w:rsidP="00D71C0B">
      <w:pPr>
        <w:spacing w:after="0" w:line="240" w:lineRule="auto"/>
        <w:rPr>
          <w:rFonts w:cstheme="minorHAnsi"/>
          <w:sz w:val="24"/>
          <w:szCs w:val="24"/>
        </w:rPr>
      </w:pPr>
    </w:p>
    <w:p w:rsidR="00B32AEA" w:rsidRPr="00053DCA" w:rsidRDefault="00B32AEA" w:rsidP="00F23D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ALEX FABIANO MOREIRA </w:t>
      </w:r>
    </w:p>
    <w:p w:rsidR="00B32AEA" w:rsidRDefault="00B32AEA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VEREADOR</w:t>
      </w:r>
      <w:r w:rsidR="00A55EBD">
        <w:rPr>
          <w:rFonts w:cstheme="minorHAnsi"/>
          <w:b/>
          <w:sz w:val="24"/>
          <w:szCs w:val="24"/>
        </w:rPr>
        <w:br/>
      </w: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Default="00A55EBD" w:rsidP="002325F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EBD" w:rsidRPr="002325FA" w:rsidRDefault="00A55EBD" w:rsidP="00A55EBD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A55EBD" w:rsidRPr="002325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082" w:rsidRDefault="00F30082">
      <w:pPr>
        <w:spacing w:line="240" w:lineRule="auto"/>
      </w:pPr>
      <w:r>
        <w:separator/>
      </w:r>
    </w:p>
  </w:endnote>
  <w:endnote w:type="continuationSeparator" w:id="0">
    <w:p w:rsidR="00F30082" w:rsidRDefault="00F30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082" w:rsidRDefault="00F30082">
      <w:pPr>
        <w:spacing w:after="0"/>
      </w:pPr>
      <w:r>
        <w:separator/>
      </w:r>
    </w:p>
  </w:footnote>
  <w:footnote w:type="continuationSeparator" w:id="0">
    <w:p w:rsidR="00F30082" w:rsidRDefault="00F300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4E9"/>
    <w:multiLevelType w:val="multilevel"/>
    <w:tmpl w:val="E51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5EF3"/>
    <w:rsid w:val="00010ABD"/>
    <w:rsid w:val="00012F04"/>
    <w:rsid w:val="0001511D"/>
    <w:rsid w:val="00043999"/>
    <w:rsid w:val="000776A8"/>
    <w:rsid w:val="0009727C"/>
    <w:rsid w:val="000B5AC3"/>
    <w:rsid w:val="000B772C"/>
    <w:rsid w:val="000E4E2C"/>
    <w:rsid w:val="000E558E"/>
    <w:rsid w:val="000F790E"/>
    <w:rsid w:val="0012372C"/>
    <w:rsid w:val="00127C20"/>
    <w:rsid w:val="001445F0"/>
    <w:rsid w:val="001C64EC"/>
    <w:rsid w:val="001C64FD"/>
    <w:rsid w:val="001D0FF8"/>
    <w:rsid w:val="001D5899"/>
    <w:rsid w:val="001E5CDD"/>
    <w:rsid w:val="002004CB"/>
    <w:rsid w:val="00216935"/>
    <w:rsid w:val="00224BE8"/>
    <w:rsid w:val="002325FA"/>
    <w:rsid w:val="002672A9"/>
    <w:rsid w:val="00280039"/>
    <w:rsid w:val="002917A9"/>
    <w:rsid w:val="00310BF4"/>
    <w:rsid w:val="00310DEF"/>
    <w:rsid w:val="00310E87"/>
    <w:rsid w:val="0033056D"/>
    <w:rsid w:val="00364289"/>
    <w:rsid w:val="003F2AE8"/>
    <w:rsid w:val="0040495D"/>
    <w:rsid w:val="00410804"/>
    <w:rsid w:val="004171BE"/>
    <w:rsid w:val="00452C25"/>
    <w:rsid w:val="00497B49"/>
    <w:rsid w:val="004A216B"/>
    <w:rsid w:val="004A602D"/>
    <w:rsid w:val="004B1F8B"/>
    <w:rsid w:val="004B2227"/>
    <w:rsid w:val="004E5B0F"/>
    <w:rsid w:val="004E71A9"/>
    <w:rsid w:val="004F0871"/>
    <w:rsid w:val="004F79D2"/>
    <w:rsid w:val="005162F1"/>
    <w:rsid w:val="005379FC"/>
    <w:rsid w:val="00544FA6"/>
    <w:rsid w:val="005C6E9B"/>
    <w:rsid w:val="005D5A8F"/>
    <w:rsid w:val="005F589E"/>
    <w:rsid w:val="00674BEA"/>
    <w:rsid w:val="006B701E"/>
    <w:rsid w:val="006C2FB8"/>
    <w:rsid w:val="006C53B7"/>
    <w:rsid w:val="006F0210"/>
    <w:rsid w:val="006F29D9"/>
    <w:rsid w:val="007005BB"/>
    <w:rsid w:val="007100D6"/>
    <w:rsid w:val="0077198D"/>
    <w:rsid w:val="007B4500"/>
    <w:rsid w:val="007B60D2"/>
    <w:rsid w:val="007C7F96"/>
    <w:rsid w:val="007E765F"/>
    <w:rsid w:val="00811525"/>
    <w:rsid w:val="0081157B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20E78"/>
    <w:rsid w:val="00921F05"/>
    <w:rsid w:val="00944C51"/>
    <w:rsid w:val="0094740D"/>
    <w:rsid w:val="00954431"/>
    <w:rsid w:val="00970805"/>
    <w:rsid w:val="009756A0"/>
    <w:rsid w:val="009C708E"/>
    <w:rsid w:val="00A46C5A"/>
    <w:rsid w:val="00A52324"/>
    <w:rsid w:val="00A55EBD"/>
    <w:rsid w:val="00A8105C"/>
    <w:rsid w:val="00AA48A5"/>
    <w:rsid w:val="00AC30ED"/>
    <w:rsid w:val="00AC6264"/>
    <w:rsid w:val="00AC7B31"/>
    <w:rsid w:val="00AF1620"/>
    <w:rsid w:val="00B04C56"/>
    <w:rsid w:val="00B13D06"/>
    <w:rsid w:val="00B25C7C"/>
    <w:rsid w:val="00B32AEA"/>
    <w:rsid w:val="00B4498B"/>
    <w:rsid w:val="00B46E8D"/>
    <w:rsid w:val="00B47593"/>
    <w:rsid w:val="00B72B34"/>
    <w:rsid w:val="00B763A0"/>
    <w:rsid w:val="00B879F1"/>
    <w:rsid w:val="00BC213D"/>
    <w:rsid w:val="00BC3A42"/>
    <w:rsid w:val="00BD3CD3"/>
    <w:rsid w:val="00C01E5B"/>
    <w:rsid w:val="00C03E84"/>
    <w:rsid w:val="00C110F2"/>
    <w:rsid w:val="00C12C92"/>
    <w:rsid w:val="00C75E02"/>
    <w:rsid w:val="00C878C8"/>
    <w:rsid w:val="00C907A6"/>
    <w:rsid w:val="00C93BFB"/>
    <w:rsid w:val="00C95475"/>
    <w:rsid w:val="00CB08CC"/>
    <w:rsid w:val="00CF7081"/>
    <w:rsid w:val="00D0140E"/>
    <w:rsid w:val="00D350B2"/>
    <w:rsid w:val="00D428FF"/>
    <w:rsid w:val="00D62514"/>
    <w:rsid w:val="00D71C0B"/>
    <w:rsid w:val="00D82398"/>
    <w:rsid w:val="00DC494F"/>
    <w:rsid w:val="00DC5F73"/>
    <w:rsid w:val="00DD3572"/>
    <w:rsid w:val="00DD4C6A"/>
    <w:rsid w:val="00DF609B"/>
    <w:rsid w:val="00E10DE2"/>
    <w:rsid w:val="00E16C2C"/>
    <w:rsid w:val="00E4774A"/>
    <w:rsid w:val="00E51A73"/>
    <w:rsid w:val="00E85AC2"/>
    <w:rsid w:val="00E93460"/>
    <w:rsid w:val="00EA5E28"/>
    <w:rsid w:val="00F052C3"/>
    <w:rsid w:val="00F23DA1"/>
    <w:rsid w:val="00F30082"/>
    <w:rsid w:val="00FD4C81"/>
    <w:rsid w:val="00FD6DD0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5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5E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B32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2AE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5E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5E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B22A27-112E-4733-94EA-B90CF5F7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Assessoria Parlamentar 2</cp:lastModifiedBy>
  <cp:revision>2</cp:revision>
  <cp:lastPrinted>2026-01-19T18:06:00Z</cp:lastPrinted>
  <dcterms:created xsi:type="dcterms:W3CDTF">2026-01-29T13:19:00Z</dcterms:created>
  <dcterms:modified xsi:type="dcterms:W3CDTF">2026-01-29T13:19:00Z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