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7C4F" w:rsidRPr="008713AE" w:rsidRDefault="008713AE">
      <w:pPr>
        <w:spacing w:after="12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REQUERIMENTO Nº 06</w:t>
      </w: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/2026</w:t>
      </w:r>
    </w:p>
    <w:p w:rsidR="00717C4F" w:rsidRPr="008713AE" w:rsidRDefault="00717C4F">
      <w:pPr>
        <w:spacing w:after="12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:rsidR="00717C4F" w:rsidRPr="008713AE" w:rsidRDefault="00871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Exmo. Sr.</w:t>
      </w:r>
    </w:p>
    <w:p w:rsidR="00717C4F" w:rsidRPr="008713AE" w:rsidRDefault="00871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 xml:space="preserve">Rafael Vieira Faria </w:t>
      </w:r>
    </w:p>
    <w:p w:rsidR="00717C4F" w:rsidRPr="008713AE" w:rsidRDefault="00871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Presidente da Câmara Municipal</w:t>
      </w:r>
    </w:p>
    <w:p w:rsidR="00717C4F" w:rsidRPr="008713AE" w:rsidRDefault="008713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color w:val="000000"/>
          <w:sz w:val="24"/>
          <w:szCs w:val="24"/>
        </w:rPr>
        <w:t>Pedro Leopoldo/MG</w:t>
      </w:r>
    </w:p>
    <w:p w:rsidR="00717C4F" w:rsidRPr="008713AE" w:rsidRDefault="00717C4F">
      <w:pPr>
        <w:spacing w:after="12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</w:p>
    <w:p w:rsidR="00717C4F" w:rsidRPr="008713AE" w:rsidRDefault="008713AE">
      <w:pPr>
        <w:spacing w:after="12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Senhor Presidente,</w:t>
      </w:r>
    </w:p>
    <w:p w:rsidR="00717C4F" w:rsidRPr="008713AE" w:rsidRDefault="00717C4F">
      <w:pPr>
        <w:spacing w:after="120" w:line="240" w:lineRule="auto"/>
        <w:jc w:val="both"/>
        <w:rPr>
          <w:rFonts w:asciiTheme="minorHAnsi" w:eastAsia="Arial" w:hAnsiTheme="minorHAnsi" w:cstheme="minorHAnsi"/>
          <w:sz w:val="24"/>
          <w:szCs w:val="24"/>
        </w:rPr>
      </w:pP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 xml:space="preserve">No uso de minhas atribuições regimentais, </w:t>
      </w: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requeiro</w:t>
      </w:r>
      <w:r w:rsidRPr="008713AE">
        <w:rPr>
          <w:rFonts w:asciiTheme="minorHAnsi" w:eastAsia="Arial" w:hAnsiTheme="minorHAnsi" w:cstheme="minorHAnsi"/>
          <w:sz w:val="24"/>
          <w:szCs w:val="24"/>
        </w:rPr>
        <w:t>, ao Excelentíssimo Senhor Prefeito, que seja promovido o envio das seguintes informações e documentos complementares referentes ao procedimento administrativo que culminou na concessão de</w:t>
      </w:r>
      <w:r w:rsidRPr="008713AE">
        <w:rPr>
          <w:rFonts w:asciiTheme="minorHAnsi" w:eastAsia="Arial" w:hAnsiTheme="minorHAnsi" w:cstheme="minorHAnsi"/>
          <w:sz w:val="24"/>
          <w:szCs w:val="24"/>
        </w:rPr>
        <w:t xml:space="preserve"> direito real de uso de área pública à empresa </w:t>
      </w: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LDX Construções Mecâ</w:t>
      </w: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nicas Ltda.</w:t>
      </w:r>
      <w:r w:rsidRPr="008713AE">
        <w:rPr>
          <w:rFonts w:asciiTheme="minorHAnsi" w:eastAsia="Arial" w:hAnsiTheme="minorHAnsi" w:cstheme="minorHAnsi"/>
          <w:sz w:val="24"/>
          <w:szCs w:val="24"/>
        </w:rPr>
        <w:t>, vinculada ao Projeto de Lei nº 129/2025 e à Lei Municipal nº 3.898/2025: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0" w:name="_heading=h.q7x4qko8xvko" w:colFirst="0" w:colLast="0"/>
      <w:bookmarkEnd w:id="0"/>
      <w:r w:rsidRPr="008713AE">
        <w:rPr>
          <w:rFonts w:asciiTheme="minorHAnsi" w:eastAsia="Arial" w:hAnsiTheme="minorHAnsi" w:cstheme="minorHAnsi"/>
          <w:sz w:val="24"/>
          <w:szCs w:val="24"/>
        </w:rPr>
        <w:t>1. Sobre interessados e ordem cronológica de protocolos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 xml:space="preserve">a) Encaminhar a relação completa de todos os protocolos e manifestações formais de interesse registrados junto ao </w:t>
      </w:r>
      <w:r w:rsidRPr="008713AE">
        <w:rPr>
          <w:rFonts w:asciiTheme="minorHAnsi" w:eastAsia="Arial" w:hAnsiTheme="minorHAnsi" w:cstheme="minorHAnsi"/>
          <w:sz w:val="24"/>
          <w:szCs w:val="24"/>
        </w:rPr>
        <w:t>Município, referentes a áreas situadas no Distrito Industrial Manoel Carlos, nos últimos 5 (cinco) anos;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b) Informar se houve consultas, sondagens ou manifestações, formais ou informais, de outras empresas especificamente sobre a área concedida;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c) Encam</w:t>
      </w:r>
      <w:r w:rsidRPr="008713AE">
        <w:rPr>
          <w:rFonts w:asciiTheme="minorHAnsi" w:eastAsia="Arial" w:hAnsiTheme="minorHAnsi" w:cstheme="minorHAnsi"/>
          <w:sz w:val="24"/>
          <w:szCs w:val="24"/>
        </w:rPr>
        <w:t>inhar a ordem cronológica dos pedidos relacionados à área objeto da concessão.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1" w:name="_heading=h.fbseljz85u95" w:colFirst="0" w:colLast="0"/>
      <w:bookmarkEnd w:id="1"/>
      <w:r w:rsidRPr="008713AE">
        <w:rPr>
          <w:rFonts w:asciiTheme="minorHAnsi" w:eastAsia="Arial" w:hAnsiTheme="minorHAnsi" w:cstheme="minorHAnsi"/>
          <w:sz w:val="24"/>
          <w:szCs w:val="24"/>
        </w:rPr>
        <w:t>2. Sobre a alegada inviabilidade de competição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a) Encaminhar estudos técnicos, pareceres urbanísticos, laudos ou manifestações técnicas independentes que tenham fundamentado a c</w:t>
      </w:r>
      <w:r w:rsidRPr="008713AE">
        <w:rPr>
          <w:rFonts w:asciiTheme="minorHAnsi" w:eastAsia="Arial" w:hAnsiTheme="minorHAnsi" w:cstheme="minorHAnsi"/>
          <w:sz w:val="24"/>
          <w:szCs w:val="24"/>
        </w:rPr>
        <w:t>onclusão de inviabilidade material de competição;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b) Encaminhar documentos que comprovem tecnicamente a necessidade exclusiva de expansão contígua pela empresa beneficiária;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c) Informar se houve análise de alternativas locacionais dentro do Distrito In</w:t>
      </w:r>
      <w:r w:rsidRPr="008713AE">
        <w:rPr>
          <w:rFonts w:asciiTheme="minorHAnsi" w:eastAsia="Arial" w:hAnsiTheme="minorHAnsi" w:cstheme="minorHAnsi"/>
          <w:sz w:val="24"/>
          <w:szCs w:val="24"/>
        </w:rPr>
        <w:t>dustrial, especificando os critérios utilizados.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2" w:name="_heading=h.l8rcpmqtacq9" w:colFirst="0" w:colLast="0"/>
      <w:bookmarkEnd w:id="2"/>
      <w:r w:rsidRPr="008713AE">
        <w:rPr>
          <w:rFonts w:asciiTheme="minorHAnsi" w:eastAsia="Arial" w:hAnsiTheme="minorHAnsi" w:cstheme="minorHAnsi"/>
          <w:sz w:val="24"/>
          <w:szCs w:val="24"/>
        </w:rPr>
        <w:t>3. Sobre critérios objetivos de escolha e avaliação comparativa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lastRenderedPageBreak/>
        <w:t xml:space="preserve">a) Encaminhar estudos ou levantamentos comparativos entre empresas instaladas no Distrito Industrial quanto à geração de empregos, arrecadação </w:t>
      </w:r>
      <w:r w:rsidRPr="008713AE">
        <w:rPr>
          <w:rFonts w:asciiTheme="minorHAnsi" w:eastAsia="Arial" w:hAnsiTheme="minorHAnsi" w:cstheme="minorHAnsi"/>
          <w:sz w:val="24"/>
          <w:szCs w:val="24"/>
        </w:rPr>
        <w:t>tributária e impacto econômico;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b) Informar quais critérios objetivos e parâmetros técnicos foram adotados para definir a empresa beneficiária, especialmente diante de eventual interesse futuro de outros agentes econômicos;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c) Encaminhar parecer técnic</w:t>
      </w:r>
      <w:r w:rsidRPr="008713AE">
        <w:rPr>
          <w:rFonts w:asciiTheme="minorHAnsi" w:eastAsia="Arial" w:hAnsiTheme="minorHAnsi" w:cstheme="minorHAnsi"/>
          <w:sz w:val="24"/>
          <w:szCs w:val="24"/>
        </w:rPr>
        <w:t>o que tenha avaliado a proporcionalidade e a razoabilidade entre a área concedida e o retorno social e econômico projetado.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3" w:name="_heading=h.i2xv7ija9gis" w:colFirst="0" w:colLast="0"/>
      <w:bookmarkEnd w:id="3"/>
      <w:r w:rsidRPr="008713AE">
        <w:rPr>
          <w:rFonts w:asciiTheme="minorHAnsi" w:eastAsia="Arial" w:hAnsiTheme="minorHAnsi" w:cstheme="minorHAnsi"/>
          <w:sz w:val="24"/>
          <w:szCs w:val="24"/>
        </w:rPr>
        <w:t>4. Sobre a alegação de risco de saída da empresa do Município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a) Encaminhar documentos oficiais que comprovem eventuais tratativas d</w:t>
      </w:r>
      <w:r w:rsidRPr="008713AE">
        <w:rPr>
          <w:rFonts w:asciiTheme="minorHAnsi" w:eastAsia="Arial" w:hAnsiTheme="minorHAnsi" w:cstheme="minorHAnsi"/>
          <w:sz w:val="24"/>
          <w:szCs w:val="24"/>
        </w:rPr>
        <w:t>a empresa com outros municípios;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b) Encaminhar comunicações formais, estudos ou registros administrativos que demonstrem risco concreto de desinstalação do empreendimento;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 xml:space="preserve">c) Informar se houve processo administrativo específico instaurado para análise </w:t>
      </w:r>
      <w:r w:rsidRPr="008713AE">
        <w:rPr>
          <w:rFonts w:asciiTheme="minorHAnsi" w:eastAsia="Arial" w:hAnsiTheme="minorHAnsi" w:cstheme="minorHAnsi"/>
          <w:sz w:val="24"/>
          <w:szCs w:val="24"/>
        </w:rPr>
        <w:t>desse risco, encaminhando cópia integral, se existente.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4" w:name="_heading=h.3k22rftvsl62" w:colFirst="0" w:colLast="0"/>
      <w:bookmarkEnd w:id="4"/>
      <w:r w:rsidRPr="008713AE">
        <w:rPr>
          <w:rFonts w:asciiTheme="minorHAnsi" w:eastAsia="Arial" w:hAnsiTheme="minorHAnsi" w:cstheme="minorHAnsi"/>
          <w:sz w:val="24"/>
          <w:szCs w:val="24"/>
        </w:rPr>
        <w:t>5. Sobre estudos econômicos e projeções de retorno fiscal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a) Encaminhar o estudo econômico completo que fundamentou as projeções de incremento de ISSQN e ICMS mencionadas pela Administração;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</w:r>
      <w:r w:rsidRPr="008713AE">
        <w:rPr>
          <w:rFonts w:asciiTheme="minorHAnsi" w:eastAsia="Arial" w:hAnsiTheme="minorHAnsi" w:cstheme="minorHAnsi"/>
          <w:sz w:val="24"/>
          <w:szCs w:val="24"/>
        </w:rPr>
        <w:t>b) Informar detalhadamente a metodologia utilizada nas estimativas de retorno financeiro ao Município;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c) Informar se houve validação técnica independente das projeções apresentadas pela empresa beneficiária.</w:t>
      </w:r>
    </w:p>
    <w:p w:rsidR="00717C4F" w:rsidRPr="008713AE" w:rsidRDefault="008713AE">
      <w:pPr>
        <w:pStyle w:val="Ttulo3"/>
        <w:keepNext w:val="0"/>
        <w:keepLines w:val="0"/>
        <w:spacing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bookmarkStart w:id="5" w:name="_heading=h.eogj0wjr4zj9" w:colFirst="0" w:colLast="0"/>
      <w:bookmarkEnd w:id="5"/>
      <w:r w:rsidRPr="008713AE">
        <w:rPr>
          <w:rFonts w:asciiTheme="minorHAnsi" w:eastAsia="Arial" w:hAnsiTheme="minorHAnsi" w:cstheme="minorHAnsi"/>
          <w:sz w:val="24"/>
          <w:szCs w:val="24"/>
        </w:rPr>
        <w:t>6. Sobre a instrução técnica e análise interna do processo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a) Encaminhar os pareceres técnicos completos emitidos por servidores efetivos ou pelos setores técnicos do Município durante a tramitação do processo;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b) Encaminhar as manifestações da Procurado</w:t>
      </w:r>
      <w:r w:rsidRPr="008713AE">
        <w:rPr>
          <w:rFonts w:asciiTheme="minorHAnsi" w:eastAsia="Arial" w:hAnsiTheme="minorHAnsi" w:cstheme="minorHAnsi"/>
          <w:sz w:val="24"/>
          <w:szCs w:val="24"/>
        </w:rPr>
        <w:t>ria Jurídica Municipal relacionadas à concessão;</w:t>
      </w:r>
      <w:r w:rsidRPr="008713AE">
        <w:rPr>
          <w:rFonts w:asciiTheme="minorHAnsi" w:eastAsia="Arial" w:hAnsiTheme="minorHAnsi" w:cstheme="minorHAnsi"/>
          <w:sz w:val="24"/>
          <w:szCs w:val="24"/>
        </w:rPr>
        <w:br/>
        <w:t xml:space="preserve"> </w:t>
      </w:r>
      <w:r w:rsidRPr="008713AE">
        <w:rPr>
          <w:rFonts w:asciiTheme="minorHAnsi" w:eastAsia="Arial" w:hAnsiTheme="minorHAnsi" w:cstheme="minorHAnsi"/>
          <w:sz w:val="24"/>
          <w:szCs w:val="24"/>
        </w:rPr>
        <w:tab/>
        <w:t>c) Encaminhar registros, atas ou relatórios de reuniões administrativas que tenham tratado da concessão da referida área pública.</w:t>
      </w:r>
    </w:p>
    <w:p w:rsidR="00717C4F" w:rsidRPr="008713AE" w:rsidRDefault="00717C4F">
      <w:pPr>
        <w:spacing w:before="240" w:after="240" w:line="360" w:lineRule="auto"/>
        <w:jc w:val="both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:rsidR="00717C4F" w:rsidRPr="008713AE" w:rsidRDefault="008713AE">
      <w:pPr>
        <w:spacing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JUSTIFICATIVA</w:t>
      </w:r>
    </w:p>
    <w:p w:rsidR="00717C4F" w:rsidRPr="008713AE" w:rsidRDefault="00717C4F">
      <w:pPr>
        <w:spacing w:line="36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O presente requerimento tem por finalidade assegurar a plen</w:t>
      </w:r>
      <w:r w:rsidRPr="008713AE">
        <w:rPr>
          <w:rFonts w:asciiTheme="minorHAnsi" w:eastAsia="Arial" w:hAnsiTheme="minorHAnsi" w:cstheme="minorHAnsi"/>
          <w:sz w:val="24"/>
          <w:szCs w:val="24"/>
        </w:rPr>
        <w:t>a transparência dos atos administrativos relacionados à concessão de área pública, bem como garantir o adequado exercício da função fiscalizadora do Poder Legislativo.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Considerando que se trata da destinação de bem público e de medida com relevante impacto</w:t>
      </w:r>
      <w:r w:rsidRPr="008713AE">
        <w:rPr>
          <w:rFonts w:asciiTheme="minorHAnsi" w:eastAsia="Arial" w:hAnsiTheme="minorHAnsi" w:cstheme="minorHAnsi"/>
          <w:sz w:val="24"/>
          <w:szCs w:val="24"/>
        </w:rPr>
        <w:t xml:space="preserve"> patrimonial e econômico para o Município, torna-se imprescindível a verificação da observância dos princípios constitucionais que regem a Administração Pública, notadamente os da legalidade, impessoalidade, moralidade, publicidade e eficiência.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O acesso à</w:t>
      </w:r>
      <w:r w:rsidRPr="008713AE">
        <w:rPr>
          <w:rFonts w:asciiTheme="minorHAnsi" w:eastAsia="Arial" w:hAnsiTheme="minorHAnsi" w:cstheme="minorHAnsi"/>
          <w:sz w:val="24"/>
          <w:szCs w:val="24"/>
        </w:rPr>
        <w:t xml:space="preserve"> íntegra da instrução processual permitirá avaliar a regularidade do procedimento adotado, a existência de critérios objetivos e técnicos que fundamentaram a escolha, a eventual inviabilidade de competição, a proporcionalidade entre a área concedida e o re</w:t>
      </w:r>
      <w:r w:rsidRPr="008713AE">
        <w:rPr>
          <w:rFonts w:asciiTheme="minorHAnsi" w:eastAsia="Arial" w:hAnsiTheme="minorHAnsi" w:cstheme="minorHAnsi"/>
          <w:sz w:val="24"/>
          <w:szCs w:val="24"/>
        </w:rPr>
        <w:t>torno social projetado, bem como a segurança jurídica da decisão administrativa.</w:t>
      </w:r>
    </w:p>
    <w:p w:rsidR="00717C4F" w:rsidRPr="008713AE" w:rsidRDefault="008713AE">
      <w:pPr>
        <w:spacing w:before="240" w:after="240" w:line="360" w:lineRule="auto"/>
        <w:ind w:firstLine="720"/>
        <w:jc w:val="both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Dessa forma, as informações solicitadas visam resguardar o interesse público, assegurar a correta aplicação do patrimônio municipal e fortalecer a transparência e o controle i</w:t>
      </w:r>
      <w:r w:rsidRPr="008713AE">
        <w:rPr>
          <w:rFonts w:asciiTheme="minorHAnsi" w:eastAsia="Arial" w:hAnsiTheme="minorHAnsi" w:cstheme="minorHAnsi"/>
          <w:sz w:val="24"/>
          <w:szCs w:val="24"/>
        </w:rPr>
        <w:t>nstitucional dos atos praticados pelo Poder Executivo.</w:t>
      </w:r>
    </w:p>
    <w:p w:rsidR="00717C4F" w:rsidRPr="008713AE" w:rsidRDefault="00717C4F">
      <w:pPr>
        <w:spacing w:after="120" w:line="240" w:lineRule="auto"/>
        <w:rPr>
          <w:rFonts w:asciiTheme="minorHAnsi" w:eastAsia="Arial" w:hAnsiTheme="minorHAnsi" w:cstheme="minorHAnsi"/>
          <w:sz w:val="24"/>
          <w:szCs w:val="24"/>
        </w:rPr>
      </w:pPr>
      <w:bookmarkStart w:id="6" w:name="_heading=h.q18k804bgu5l" w:colFirst="0" w:colLast="0"/>
      <w:bookmarkEnd w:id="6"/>
    </w:p>
    <w:p w:rsidR="00717C4F" w:rsidRPr="008713AE" w:rsidRDefault="00717C4F">
      <w:pPr>
        <w:spacing w:after="120" w:line="240" w:lineRule="auto"/>
        <w:rPr>
          <w:rFonts w:asciiTheme="minorHAnsi" w:eastAsia="Arial" w:hAnsiTheme="minorHAnsi" w:cstheme="minorHAnsi"/>
          <w:sz w:val="24"/>
          <w:szCs w:val="24"/>
        </w:rPr>
      </w:pPr>
      <w:bookmarkStart w:id="7" w:name="_heading=h.3jlifvmmdpqf" w:colFirst="0" w:colLast="0"/>
      <w:bookmarkEnd w:id="7"/>
    </w:p>
    <w:p w:rsidR="00717C4F" w:rsidRPr="008713AE" w:rsidRDefault="008713AE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bookmarkStart w:id="8" w:name="_heading=h.gjdgxs" w:colFirst="0" w:colLast="0"/>
      <w:bookmarkEnd w:id="8"/>
      <w:r w:rsidRPr="008713AE">
        <w:rPr>
          <w:rFonts w:asciiTheme="minorHAnsi" w:eastAsia="Arial" w:hAnsiTheme="minorHAnsi" w:cstheme="minorHAnsi"/>
          <w:sz w:val="24"/>
          <w:szCs w:val="24"/>
        </w:rPr>
        <w:t xml:space="preserve">Sala das Sessões, </w:t>
      </w:r>
      <w:r>
        <w:rPr>
          <w:rFonts w:asciiTheme="minorHAnsi" w:eastAsia="Arial" w:hAnsiTheme="minorHAnsi" w:cstheme="minorHAnsi"/>
          <w:sz w:val="24"/>
          <w:szCs w:val="24"/>
        </w:rPr>
        <w:t>23</w:t>
      </w:r>
      <w:r w:rsidRPr="008713AE">
        <w:rPr>
          <w:rFonts w:asciiTheme="minorHAnsi" w:eastAsia="Arial" w:hAnsiTheme="minorHAnsi" w:cstheme="minorHAnsi"/>
          <w:sz w:val="24"/>
          <w:szCs w:val="24"/>
        </w:rPr>
        <w:t xml:space="preserve"> de fevereiro de 2026.</w:t>
      </w:r>
    </w:p>
    <w:p w:rsidR="00717C4F" w:rsidRPr="008713AE" w:rsidRDefault="00717C4F">
      <w:pPr>
        <w:spacing w:after="120" w:line="240" w:lineRule="auto"/>
        <w:rPr>
          <w:rFonts w:asciiTheme="minorHAnsi" w:eastAsia="Arial" w:hAnsiTheme="minorHAnsi" w:cstheme="minorHAnsi"/>
          <w:sz w:val="24"/>
          <w:szCs w:val="24"/>
        </w:rPr>
      </w:pPr>
    </w:p>
    <w:p w:rsidR="00717C4F" w:rsidRPr="008713AE" w:rsidRDefault="00717C4F">
      <w:pPr>
        <w:spacing w:after="120" w:line="240" w:lineRule="auto"/>
        <w:rPr>
          <w:rFonts w:asciiTheme="minorHAnsi" w:eastAsia="Arial" w:hAnsiTheme="minorHAnsi" w:cstheme="minorHAnsi"/>
          <w:sz w:val="24"/>
          <w:szCs w:val="24"/>
        </w:rPr>
      </w:pPr>
    </w:p>
    <w:p w:rsidR="00717C4F" w:rsidRPr="008713AE" w:rsidRDefault="00717C4F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</w:p>
    <w:p w:rsidR="00717C4F" w:rsidRPr="008713AE" w:rsidRDefault="008713AE">
      <w:pPr>
        <w:spacing w:after="120" w:line="240" w:lineRule="auto"/>
        <w:jc w:val="center"/>
        <w:rPr>
          <w:rFonts w:asciiTheme="minorHAnsi" w:eastAsia="Arial" w:hAnsiTheme="minorHAnsi" w:cstheme="minorHAnsi"/>
          <w:sz w:val="24"/>
          <w:szCs w:val="24"/>
        </w:rPr>
      </w:pPr>
      <w:r w:rsidRPr="008713AE">
        <w:rPr>
          <w:rFonts w:asciiTheme="minorHAnsi" w:eastAsia="Arial" w:hAnsiTheme="minorHAnsi" w:cstheme="minorHAnsi"/>
          <w:sz w:val="24"/>
          <w:szCs w:val="24"/>
        </w:rPr>
        <w:t>__________________________________</w:t>
      </w:r>
    </w:p>
    <w:p w:rsidR="00717C4F" w:rsidRPr="008713AE" w:rsidRDefault="008713AE">
      <w:pPr>
        <w:spacing w:after="120" w:line="240" w:lineRule="auto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Gabriel Vinícius Silveira de Araújo - Gael Silveira</w:t>
      </w:r>
      <w:r>
        <w:rPr>
          <w:rFonts w:asciiTheme="minorHAnsi" w:eastAsia="Arial" w:hAnsiTheme="minorHAnsi" w:cstheme="minorHAnsi"/>
          <w:b/>
          <w:bCs/>
          <w:sz w:val="24"/>
          <w:szCs w:val="24"/>
        </w:rPr>
        <w:br/>
      </w:r>
      <w:bookmarkStart w:id="9" w:name="_GoBack"/>
      <w:bookmarkEnd w:id="9"/>
      <w:r w:rsidRPr="008713AE">
        <w:rPr>
          <w:rFonts w:asciiTheme="minorHAnsi" w:eastAsia="Arial" w:hAnsiTheme="minorHAnsi" w:cstheme="minorHAnsi"/>
          <w:b/>
          <w:bCs/>
          <w:sz w:val="24"/>
          <w:szCs w:val="24"/>
        </w:rPr>
        <w:t>Vereador do Município de Pedro Leopoldo</w:t>
      </w:r>
    </w:p>
    <w:sectPr w:rsidR="00717C4F" w:rsidRPr="008713AE">
      <w:headerReference w:type="default" r:id="rId7"/>
      <w:footerReference w:type="default" r:id="rId8"/>
      <w:pgSz w:w="11906" w:h="16838"/>
      <w:pgMar w:top="1134" w:right="567" w:bottom="567" w:left="1134" w:header="567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8713AE">
      <w:pPr>
        <w:spacing w:after="0" w:line="240" w:lineRule="auto"/>
      </w:pPr>
      <w:r>
        <w:separator/>
      </w:r>
    </w:p>
  </w:endnote>
  <w:endnote w:type="continuationSeparator" w:id="0">
    <w:p w:rsidR="00000000" w:rsidRDefault="00871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6871B3-5652-40DE-8DAC-53E534FAE290}"/>
    <w:embedBold r:id="rId2" w:fontKey="{8A8FA698-0286-47A6-BD1C-57D0B9FA2D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08430BC-2603-48C6-8287-6FFCEB6B7E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B2A9F81-DADC-4D12-9A90-2B49097F8A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C6FB350B-732F-467C-9618-BE55C04AA0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C4F" w:rsidRDefault="00717C4F">
    <w:pPr>
      <w:pBdr>
        <w:top w:val="none" w:sz="0" w:space="0" w:color="000000"/>
        <w:left w:val="none" w:sz="0" w:space="0" w:color="000000"/>
        <w:bottom w:val="single" w:sz="8" w:space="1" w:color="000000"/>
        <w:right w:val="none" w:sz="0" w:space="0" w:color="000000"/>
      </w:pBdr>
      <w:tabs>
        <w:tab w:val="center" w:pos="4818"/>
        <w:tab w:val="right" w:pos="9637"/>
      </w:tabs>
      <w:ind w:left="-567"/>
      <w:jc w:val="center"/>
      <w:rPr>
        <w:rFonts w:ascii="Arial" w:eastAsia="Arial" w:hAnsi="Arial" w:cs="Arial"/>
        <w:sz w:val="16"/>
        <w:szCs w:val="16"/>
      </w:rPr>
    </w:pPr>
  </w:p>
  <w:p w:rsidR="00717C4F" w:rsidRDefault="008713AE">
    <w:pPr>
      <w:tabs>
        <w:tab w:val="center" w:pos="4818"/>
        <w:tab w:val="right" w:pos="9637"/>
      </w:tabs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Rua Dr. Cristiano Otoni, nº 555, Centro, Pedro Leopoldo – CEP 33250-006 - Fone: 31 3665-3200 </w:t>
    </w:r>
  </w:p>
  <w:p w:rsidR="00717C4F" w:rsidRDefault="008713AE">
    <w:pPr>
      <w:tabs>
        <w:tab w:val="center" w:pos="4818"/>
        <w:tab w:val="right" w:pos="9637"/>
      </w:tabs>
      <w:ind w:left="-567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 xml:space="preserve">E-mail: </w:t>
    </w:r>
    <w:hyperlink r:id="rId1">
      <w:r>
        <w:rPr>
          <w:rFonts w:ascii="Arial" w:eastAsia="Arial" w:hAnsi="Arial" w:cs="Arial"/>
          <w:color w:val="000080"/>
          <w:sz w:val="18"/>
          <w:szCs w:val="18"/>
          <w:u w:val="single"/>
        </w:rPr>
        <w:t>camarapl@pedroleopoldo.mg.leg.br</w:t>
      </w:r>
    </w:hyperlink>
    <w:r>
      <w:rPr>
        <w:rFonts w:ascii="Arial" w:eastAsia="Arial" w:hAnsi="Arial" w:cs="Arial"/>
        <w:color w:val="000080"/>
        <w:sz w:val="18"/>
        <w:szCs w:val="18"/>
        <w:u w:val="single"/>
      </w:rPr>
      <w:t xml:space="preserve"> </w:t>
    </w:r>
    <w:r>
      <w:rPr>
        <w:rFonts w:ascii="Arial" w:eastAsia="Arial" w:hAnsi="Arial" w:cs="Arial"/>
        <w:sz w:val="18"/>
        <w:szCs w:val="18"/>
      </w:rPr>
      <w:t xml:space="preserve">– Home Page: </w:t>
    </w:r>
    <w:hyperlink r:id="rId2">
      <w:r>
        <w:rPr>
          <w:rFonts w:ascii="Arial" w:eastAsia="Arial" w:hAnsi="Arial" w:cs="Arial"/>
          <w:color w:val="000080"/>
          <w:sz w:val="18"/>
          <w:szCs w:val="18"/>
          <w:u w:val="single"/>
        </w:rPr>
        <w:t>www.pedroleopoldo.mg.leg.br</w:t>
      </w:r>
    </w:hyperlink>
    <w:r>
      <w:rPr>
        <w:rFonts w:ascii="Arial" w:eastAsia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8713AE">
      <w:pPr>
        <w:spacing w:after="0" w:line="240" w:lineRule="auto"/>
      </w:pPr>
      <w:r>
        <w:separator/>
      </w:r>
    </w:p>
  </w:footnote>
  <w:footnote w:type="continuationSeparator" w:id="0">
    <w:p w:rsidR="00000000" w:rsidRDefault="00871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7C4F" w:rsidRDefault="00871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35"/>
        <w:szCs w:val="35"/>
      </w:rPr>
    </w:pPr>
    <w:r>
      <w:rPr>
        <w:rFonts w:ascii="Arial" w:eastAsia="Arial" w:hAnsi="Arial" w:cs="Arial"/>
        <w:b/>
        <w:bCs/>
        <w:color w:val="000000"/>
        <w:sz w:val="35"/>
        <w:szCs w:val="35"/>
      </w:rPr>
      <w:t>CÂMARA MUNICIPAL DE PEDRO LEOPOLDO</w:t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-329551</wp:posOffset>
          </wp:positionH>
          <wp:positionV relativeFrom="paragraph">
            <wp:posOffset>-121903</wp:posOffset>
          </wp:positionV>
          <wp:extent cx="869315" cy="99631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17C4F" w:rsidRDefault="00871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  <w:color w:val="000000"/>
      </w:rPr>
      <w:t>ESTADO DE MINAS GERAIS</w:t>
    </w:r>
  </w:p>
  <w:p w:rsidR="00717C4F" w:rsidRDefault="00717C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</w:p>
  <w:p w:rsidR="00717C4F" w:rsidRDefault="008713A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bCs/>
        <w:color w:val="000000"/>
      </w:rPr>
    </w:pPr>
    <w:r>
      <w:rPr>
        <w:rFonts w:ascii="Arial" w:eastAsia="Arial" w:hAnsi="Arial" w:cs="Arial"/>
        <w:b/>
        <w:bCs/>
      </w:rPr>
      <w:t>NOVO TEMPO, NOVAS IDEIAS!</w:t>
    </w:r>
  </w:p>
  <w:p w:rsidR="00717C4F" w:rsidRDefault="00717C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C4F"/>
    <w:rsid w:val="00717C4F"/>
    <w:rsid w:val="00871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E69A3"/>
  <w15:docId w15:val="{D8632E8A-9F6C-4B61-87E2-BE70F7341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93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uiPriority w:val="99"/>
    <w:rsid w:val="00793723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nhideWhenUsed/>
    <w:rsid w:val="00793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rsid w:val="00793723"/>
    <w:rPr>
      <w:rFonts w:ascii="Calibri" w:eastAsia="Calibri" w:hAnsi="Calibri" w:cs="Times New Roman"/>
    </w:rPr>
  </w:style>
  <w:style w:type="character" w:styleId="Hyperlink">
    <w:name w:val="Hyperlink"/>
    <w:rsid w:val="00793723"/>
    <w:rPr>
      <w:color w:val="000080"/>
      <w:u w:val="single"/>
    </w:rPr>
  </w:style>
  <w:style w:type="paragraph" w:customStyle="1" w:styleId="Standard">
    <w:name w:val="Standard"/>
    <w:rsid w:val="00793723"/>
    <w:pPr>
      <w:widowControl w:val="0"/>
      <w:suppressAutoHyphens/>
      <w:autoSpaceDN w:val="0"/>
      <w:textAlignment w:val="baseline"/>
    </w:pPr>
    <w:rPr>
      <w:rFonts w:ascii="Times New Roman" w:eastAsia="DejaVu Sans" w:hAnsi="Times New Roman" w:cs="DejaVu Sans"/>
      <w:kern w:val="3"/>
      <w:sz w:val="24"/>
      <w:szCs w:val="24"/>
    </w:rPr>
  </w:style>
  <w:style w:type="paragraph" w:customStyle="1" w:styleId="Standarduser">
    <w:name w:val="Standard (user)"/>
    <w:rsid w:val="00793723"/>
    <w:pPr>
      <w:widowControl w:val="0"/>
      <w:suppressAutoHyphens/>
      <w:autoSpaceDE w:val="0"/>
      <w:autoSpaceDN w:val="0"/>
      <w:textAlignment w:val="baseline"/>
    </w:pPr>
    <w:rPr>
      <w:rFonts w:ascii="Times New Roman" w:eastAsia="Arial" w:hAnsi="Times New Roman"/>
      <w:kern w:val="3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13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1377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basedOn w:val="Normal"/>
    <w:uiPriority w:val="34"/>
    <w:qFormat/>
    <w:rsid w:val="00624BE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606D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SemEspaamento">
    <w:name w:val="No Spacing"/>
    <w:uiPriority w:val="1"/>
    <w:qFormat/>
    <w:rsid w:val="009254F9"/>
    <w:rPr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edroleopoldo.mg.leg.br" TargetMode="External"/><Relationship Id="rId1" Type="http://schemas.openxmlformats.org/officeDocument/2006/relationships/hyperlink" Target="mailto:camarapl@pedroleopoldo.mg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JcxjPiuaJ54svP9OZdPugqrAMw==">CgMxLjAyDmgucTd4NHFrbzh4dmtvMg5oLmZic2Vsano4NXU5NTIOaC5sOHJjcG1xdGFjcTkyDmguaTJ4djdpamE5Z2lzMg5oLjNrMjJyZnR2c2w2MjIOaC5lb2dqMHdqcjR6ajkyDmgucTE4azgwNGJndTVsMg5oLjNqbGlmdm1tZHBxZjIIaC5namRneHM4AHIhMVpFX0FHaDc0cVVwdWpMMGdDTEpCUjkxdDdrYlNNbUp3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735</Words>
  <Characters>3970</Characters>
  <Application>Microsoft Office Word</Application>
  <DocSecurity>0</DocSecurity>
  <Lines>33</Lines>
  <Paragraphs>9</Paragraphs>
  <ScaleCrop>false</ScaleCrop>
  <Company/>
  <LinksUpToDate>false</LinksUpToDate>
  <CharactersWithSpaces>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Mara</dc:creator>
  <cp:lastModifiedBy>Assessoria Parlamentar 8</cp:lastModifiedBy>
  <cp:revision>2</cp:revision>
  <dcterms:created xsi:type="dcterms:W3CDTF">2026-02-12T13:32:00Z</dcterms:created>
  <dcterms:modified xsi:type="dcterms:W3CDTF">2026-02-12T13:32:00Z</dcterms:modified>
</cp:coreProperties>
</file>