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072D03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</w:pPr>
      <w:r w:rsidRPr="00072D03"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  <w:t xml:space="preserve">INDICAÇÃO Nº </w:t>
      </w:r>
      <w:r w:rsidR="00B738F9" w:rsidRPr="00072D03"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  <w:t>2</w:t>
      </w:r>
      <w:r w:rsidR="00072D03" w:rsidRPr="00072D03"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  <w:t>5</w:t>
      </w:r>
      <w:r w:rsidR="00131E72"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  <w:t>8</w:t>
      </w:r>
      <w:r w:rsidRPr="00072D03">
        <w:rPr>
          <w:rFonts w:asciiTheme="minorHAnsi" w:hAnsiTheme="minorHAnsi" w:cstheme="minorHAnsi"/>
          <w:b/>
          <w:color w:val="000000"/>
          <w:position w:val="-1"/>
          <w:sz w:val="24"/>
          <w:szCs w:val="23"/>
        </w:rPr>
        <w:t>/2026</w:t>
      </w:r>
    </w:p>
    <w:p w:rsidR="00EE2296" w:rsidRPr="00072D03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3"/>
        </w:rPr>
      </w:pPr>
      <w:r w:rsidRPr="00072D03">
        <w:rPr>
          <w:rFonts w:asciiTheme="minorHAnsi" w:hAnsiTheme="minorHAnsi" w:cstheme="minorHAnsi"/>
          <w:b/>
          <w:sz w:val="24"/>
          <w:szCs w:val="23"/>
        </w:rPr>
        <w:t>Exmo. Sr.</w:t>
      </w:r>
    </w:p>
    <w:p w:rsidR="00EE2296" w:rsidRPr="00072D03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3"/>
        </w:rPr>
      </w:pPr>
      <w:r w:rsidRPr="00072D03">
        <w:rPr>
          <w:rFonts w:asciiTheme="minorHAnsi" w:hAnsiTheme="minorHAnsi" w:cstheme="minorHAnsi"/>
          <w:b/>
          <w:sz w:val="24"/>
          <w:szCs w:val="23"/>
        </w:rPr>
        <w:t xml:space="preserve">Rafael Vieira Faria </w:t>
      </w:r>
    </w:p>
    <w:p w:rsidR="00EE2296" w:rsidRPr="00072D03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3"/>
        </w:rPr>
      </w:pPr>
      <w:r w:rsidRPr="00072D03">
        <w:rPr>
          <w:rFonts w:asciiTheme="minorHAnsi" w:hAnsiTheme="minorHAnsi" w:cstheme="minorHAnsi"/>
          <w:b/>
          <w:sz w:val="24"/>
          <w:szCs w:val="23"/>
        </w:rPr>
        <w:t xml:space="preserve">Presidente da Câmara Municipal </w:t>
      </w:r>
    </w:p>
    <w:p w:rsidR="00EE2296" w:rsidRPr="00072D03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3"/>
        </w:rPr>
      </w:pPr>
      <w:r w:rsidRPr="00072D03">
        <w:rPr>
          <w:rFonts w:asciiTheme="minorHAnsi" w:hAnsiTheme="minorHAnsi" w:cstheme="minorHAnsi"/>
          <w:b/>
          <w:sz w:val="24"/>
          <w:szCs w:val="23"/>
        </w:rPr>
        <w:t>Pedro Leopoldo/MG</w:t>
      </w:r>
    </w:p>
    <w:p w:rsidR="00EE2296" w:rsidRPr="00072D03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3"/>
        </w:rPr>
      </w:pPr>
    </w:p>
    <w:p w:rsidR="005F589E" w:rsidRPr="00072D03" w:rsidRDefault="002327CF" w:rsidP="00131E72">
      <w:pPr>
        <w:pStyle w:val="Ttulo1"/>
        <w:jc w:val="both"/>
        <w:rPr>
          <w:rFonts w:asciiTheme="minorHAnsi" w:hAnsiTheme="minorHAnsi" w:cstheme="minorHAnsi"/>
          <w:b w:val="0"/>
          <w:szCs w:val="23"/>
        </w:rPr>
      </w:pPr>
      <w:r w:rsidRPr="00072D03">
        <w:rPr>
          <w:rFonts w:asciiTheme="minorHAnsi" w:hAnsiTheme="minorHAnsi" w:cstheme="minorHAnsi"/>
          <w:b w:val="0"/>
          <w:szCs w:val="23"/>
        </w:rPr>
        <w:tab/>
      </w:r>
      <w:r w:rsidR="00DD4EDB" w:rsidRPr="00072D03">
        <w:rPr>
          <w:rFonts w:asciiTheme="minorHAnsi" w:hAnsiTheme="minorHAnsi" w:cstheme="minorHAnsi"/>
          <w:b w:val="0"/>
          <w:szCs w:val="23"/>
        </w:rPr>
        <w:t>Senhor Presidente,</w:t>
      </w:r>
    </w:p>
    <w:p w:rsidR="001C2D93" w:rsidRPr="00072D03" w:rsidRDefault="00977DFA" w:rsidP="00131E72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 xml:space="preserve">No uso de minhas atribuições regimentais, </w:t>
      </w:r>
      <w:r w:rsidRPr="00072D03">
        <w:rPr>
          <w:rFonts w:asciiTheme="minorHAnsi" w:eastAsia="Times New Roman" w:hAnsiTheme="minorHAnsi" w:cstheme="minorHAnsi"/>
          <w:b/>
          <w:sz w:val="24"/>
          <w:szCs w:val="23"/>
          <w:lang w:eastAsia="pt-BR"/>
        </w:rPr>
        <w:t>indico</w:t>
      </w:r>
      <w:r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 xml:space="preserve"> ao Poder Executivo</w:t>
      </w:r>
      <w:r w:rsidR="00072D03"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 xml:space="preserve"> </w:t>
      </w:r>
      <w:r w:rsidR="00131E72"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determinar ao setor competente, que estude a viabilidade de instituir, no âmbito do Município, a Política Municipal de Promoção dos Direitos e Atenção Integral às Pessoas Idosas com Transtorno do Espectro Autista (TEA)</w:t>
      </w:r>
      <w:r w:rsidR="004F039A"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>.</w:t>
      </w:r>
    </w:p>
    <w:p w:rsidR="001C2D93" w:rsidRPr="00072D03" w:rsidRDefault="001C2D93" w:rsidP="00131E72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072D03">
        <w:rPr>
          <w:rFonts w:asciiTheme="minorHAnsi" w:eastAsia="Times New Roman" w:hAnsiTheme="minorHAnsi" w:cstheme="minorHAnsi"/>
          <w:b/>
          <w:bCs/>
          <w:sz w:val="24"/>
          <w:szCs w:val="23"/>
          <w:lang w:eastAsia="pt-BR"/>
        </w:rPr>
        <w:t>JUSTIFICATIVA</w:t>
      </w:r>
    </w:p>
    <w:p w:rsidR="00131E72" w:rsidRPr="00131E72" w:rsidRDefault="00131E72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O envelhecimento da população é uma realidade crescente no Brasil, ao mesmo tempo em que se amplia o diagnóstico de pessoas com Transtorno do Espectro Autista (TEA). Contudo, ainda há baixa visibilidade quanto às necessidades específicas da pessoa idosa com TEA.</w:t>
      </w:r>
    </w:p>
    <w:p w:rsidR="00131E72" w:rsidRPr="00131E72" w:rsidRDefault="00131E72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Esse público pode apresentar maior vulnerabilidade social, dificuldades de comunicação, necessidade de acompanhamento multiprofissional e suporte às famílias e cuidadores.</w:t>
      </w:r>
    </w:p>
    <w:p w:rsidR="00131E72" w:rsidRPr="00131E72" w:rsidRDefault="00131E72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 xml:space="preserve">Dessa forma, sugere-se que o Poder Executivo avalie a possibilidade de desenvolver ações </w:t>
      </w:r>
      <w:proofErr w:type="spellStart"/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intersetoriais</w:t>
      </w:r>
      <w:proofErr w:type="spellEnd"/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, observadas a conveniência administrativa e a disponibilidade orçamentária, voltadas a:</w:t>
      </w:r>
    </w:p>
    <w:p w:rsidR="00131E72" w:rsidRPr="00131E72" w:rsidRDefault="00131E72" w:rsidP="00131E72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bookmarkStart w:id="0" w:name="_GoBack"/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Promoção da inclusão social da pessoa idosa com TEA;</w:t>
      </w:r>
    </w:p>
    <w:p w:rsidR="00131E72" w:rsidRPr="00131E72" w:rsidRDefault="00131E72" w:rsidP="00131E72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Capacitação de profissionais da rede municipal;</w:t>
      </w:r>
    </w:p>
    <w:p w:rsidR="00131E72" w:rsidRPr="00131E72" w:rsidRDefault="00131E72" w:rsidP="00131E72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Fortalecimento do apoio às famílias;</w:t>
      </w:r>
    </w:p>
    <w:p w:rsidR="00131E72" w:rsidRPr="00131E72" w:rsidRDefault="00131E72" w:rsidP="00131E72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Integração das políticas públicas já existentes nas áreas de saúde e assistência social.</w:t>
      </w:r>
    </w:p>
    <w:bookmarkEnd w:id="0"/>
    <w:p w:rsidR="00072D03" w:rsidRPr="00072D03" w:rsidRDefault="00131E72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131E72">
        <w:rPr>
          <w:rFonts w:asciiTheme="minorHAnsi" w:eastAsia="Times New Roman" w:hAnsiTheme="minorHAnsi" w:cstheme="minorHAnsi"/>
          <w:sz w:val="24"/>
          <w:szCs w:val="23"/>
          <w:lang w:eastAsia="pt-BR"/>
        </w:rPr>
        <w:t>A presente Indicação não cria obrigação administrativa nem gera despesa direta, tratando-se de sugestão ao Poder Executivo para análise de viabilidade</w:t>
      </w:r>
      <w:r w:rsidR="00072D03"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>.</w:t>
      </w:r>
    </w:p>
    <w:p w:rsidR="00072D03" w:rsidRPr="00072D03" w:rsidRDefault="00072D03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lastRenderedPageBreak/>
        <w:t>Trata-se de providência de relevante interesse público, voltada à segurança viária, à prevenção de acidentes e à proteção da comunidade escolar.</w:t>
      </w:r>
    </w:p>
    <w:p w:rsidR="001C2D93" w:rsidRPr="00072D03" w:rsidRDefault="00072D03" w:rsidP="00131E72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3"/>
          <w:lang w:eastAsia="pt-BR"/>
        </w:rPr>
      </w:pPr>
      <w:r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>Diante do exposto, conto com a atenção do Executivo Municipal para o atendimento desta importante demanda da população do bairro Quinta do Sumidouro</w:t>
      </w:r>
      <w:r w:rsidR="00AB2917" w:rsidRPr="00072D03">
        <w:rPr>
          <w:rFonts w:asciiTheme="minorHAnsi" w:eastAsia="Times New Roman" w:hAnsiTheme="minorHAnsi" w:cstheme="minorHAnsi"/>
          <w:sz w:val="24"/>
          <w:szCs w:val="23"/>
          <w:lang w:eastAsia="pt-BR"/>
        </w:rPr>
        <w:t>.</w:t>
      </w:r>
    </w:p>
    <w:p w:rsidR="00D35803" w:rsidRPr="00072D03" w:rsidRDefault="00615A90" w:rsidP="00131E72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3"/>
        </w:rPr>
      </w:pPr>
      <w:r w:rsidRPr="00072D03">
        <w:rPr>
          <w:rFonts w:asciiTheme="minorHAnsi" w:hAnsiTheme="minorHAnsi" w:cstheme="minorHAnsi"/>
          <w:sz w:val="24"/>
          <w:szCs w:val="23"/>
        </w:rPr>
        <w:t>Sala d</w:t>
      </w:r>
      <w:r w:rsidR="002327CF" w:rsidRPr="00072D03">
        <w:rPr>
          <w:rFonts w:asciiTheme="minorHAnsi" w:hAnsiTheme="minorHAnsi" w:cstheme="minorHAnsi"/>
          <w:sz w:val="24"/>
          <w:szCs w:val="23"/>
        </w:rPr>
        <w:t>as</w:t>
      </w:r>
      <w:r w:rsidRPr="00072D03">
        <w:rPr>
          <w:rFonts w:asciiTheme="minorHAnsi" w:hAnsiTheme="minorHAnsi" w:cstheme="minorHAnsi"/>
          <w:sz w:val="24"/>
          <w:szCs w:val="23"/>
        </w:rPr>
        <w:t xml:space="preserve"> </w:t>
      </w:r>
      <w:r w:rsidR="002327CF" w:rsidRPr="00072D03">
        <w:rPr>
          <w:rFonts w:asciiTheme="minorHAnsi" w:hAnsiTheme="minorHAnsi" w:cstheme="minorHAnsi"/>
          <w:sz w:val="24"/>
          <w:szCs w:val="23"/>
        </w:rPr>
        <w:t>S</w:t>
      </w:r>
      <w:r w:rsidRPr="00072D03">
        <w:rPr>
          <w:rFonts w:asciiTheme="minorHAnsi" w:hAnsiTheme="minorHAnsi" w:cstheme="minorHAnsi"/>
          <w:sz w:val="24"/>
          <w:szCs w:val="23"/>
        </w:rPr>
        <w:t>ess</w:t>
      </w:r>
      <w:r w:rsidR="002327CF" w:rsidRPr="00072D03">
        <w:rPr>
          <w:rFonts w:asciiTheme="minorHAnsi" w:hAnsiTheme="minorHAnsi" w:cstheme="minorHAnsi"/>
          <w:sz w:val="24"/>
          <w:szCs w:val="23"/>
        </w:rPr>
        <w:t>ões</w:t>
      </w:r>
      <w:r w:rsidRPr="00072D03">
        <w:rPr>
          <w:rFonts w:asciiTheme="minorHAnsi" w:hAnsiTheme="minorHAnsi" w:cstheme="minorHAnsi"/>
          <w:sz w:val="24"/>
          <w:szCs w:val="23"/>
        </w:rPr>
        <w:t xml:space="preserve">, </w:t>
      </w:r>
      <w:r w:rsidR="00990050" w:rsidRPr="00072D03">
        <w:rPr>
          <w:rFonts w:asciiTheme="minorHAnsi" w:hAnsiTheme="minorHAnsi" w:cstheme="minorHAnsi"/>
          <w:sz w:val="24"/>
          <w:szCs w:val="23"/>
        </w:rPr>
        <w:t>0</w:t>
      </w:r>
      <w:r w:rsidR="00E26F8D" w:rsidRPr="00072D03">
        <w:rPr>
          <w:rFonts w:asciiTheme="minorHAnsi" w:hAnsiTheme="minorHAnsi" w:cstheme="minorHAnsi"/>
          <w:sz w:val="24"/>
          <w:szCs w:val="23"/>
        </w:rPr>
        <w:t>9</w:t>
      </w:r>
      <w:r w:rsidRPr="00072D03">
        <w:rPr>
          <w:rFonts w:asciiTheme="minorHAnsi" w:hAnsiTheme="minorHAnsi" w:cstheme="minorHAnsi"/>
          <w:sz w:val="24"/>
          <w:szCs w:val="23"/>
        </w:rPr>
        <w:t xml:space="preserve"> de </w:t>
      </w:r>
      <w:r w:rsidR="00990050" w:rsidRPr="00072D03">
        <w:rPr>
          <w:rFonts w:asciiTheme="minorHAnsi" w:hAnsiTheme="minorHAnsi" w:cstheme="minorHAnsi"/>
          <w:sz w:val="24"/>
          <w:szCs w:val="23"/>
        </w:rPr>
        <w:t>março</w:t>
      </w:r>
      <w:r w:rsidR="001C2D93" w:rsidRPr="00072D03">
        <w:rPr>
          <w:rFonts w:asciiTheme="minorHAnsi" w:hAnsiTheme="minorHAnsi" w:cstheme="minorHAnsi"/>
          <w:sz w:val="24"/>
          <w:szCs w:val="23"/>
        </w:rPr>
        <w:t xml:space="preserve"> 2026</w:t>
      </w:r>
    </w:p>
    <w:p w:rsidR="00AB2917" w:rsidRPr="00072D03" w:rsidRDefault="00AB2917" w:rsidP="00131E72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3"/>
          <w:lang w:eastAsia="pt-BR"/>
        </w:rPr>
      </w:pPr>
    </w:p>
    <w:p w:rsidR="00EE2296" w:rsidRPr="00072D03" w:rsidRDefault="00072D03" w:rsidP="00131E72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3"/>
          <w:lang w:eastAsia="pt-BR"/>
        </w:rPr>
      </w:pPr>
      <w:r w:rsidRPr="00072D03">
        <w:rPr>
          <w:rFonts w:asciiTheme="minorHAnsi" w:eastAsia="Arial" w:hAnsiTheme="minorHAnsi" w:cstheme="minorHAnsi"/>
          <w:b/>
          <w:sz w:val="24"/>
          <w:szCs w:val="23"/>
        </w:rPr>
        <w:t>Cynthia Salomão Bastos Faria</w:t>
      </w:r>
      <w:r w:rsidR="00D35803" w:rsidRPr="00072D03">
        <w:rPr>
          <w:rFonts w:asciiTheme="minorHAnsi" w:eastAsia="Arial" w:hAnsiTheme="minorHAnsi" w:cstheme="minorHAnsi"/>
          <w:b/>
          <w:sz w:val="24"/>
          <w:szCs w:val="23"/>
        </w:rPr>
        <w:br/>
        <w:t>Vereador</w:t>
      </w:r>
      <w:r w:rsidR="003F03B8" w:rsidRPr="00072D03">
        <w:rPr>
          <w:rFonts w:asciiTheme="minorHAnsi" w:eastAsia="Arial" w:hAnsiTheme="minorHAnsi" w:cstheme="minorHAnsi"/>
          <w:b/>
          <w:sz w:val="24"/>
          <w:szCs w:val="23"/>
        </w:rPr>
        <w:t>a</w:t>
      </w:r>
    </w:p>
    <w:sectPr w:rsidR="00EE2296" w:rsidRPr="00072D03" w:rsidSect="00072D03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D17"/>
    <w:multiLevelType w:val="hybridMultilevel"/>
    <w:tmpl w:val="C632DFA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B11777"/>
    <w:multiLevelType w:val="hybridMultilevel"/>
    <w:tmpl w:val="B4BAD2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A73D49"/>
    <w:multiLevelType w:val="hybridMultilevel"/>
    <w:tmpl w:val="A454C3F4"/>
    <w:lvl w:ilvl="0" w:tplc="8FECB5CA">
      <w:start w:val="4"/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181DE2"/>
    <w:multiLevelType w:val="hybridMultilevel"/>
    <w:tmpl w:val="397A5C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597AEC"/>
    <w:multiLevelType w:val="hybridMultilevel"/>
    <w:tmpl w:val="088A17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9C3"/>
    <w:rsid w:val="0001511D"/>
    <w:rsid w:val="00042B89"/>
    <w:rsid w:val="00067068"/>
    <w:rsid w:val="00072D03"/>
    <w:rsid w:val="00081098"/>
    <w:rsid w:val="000A048B"/>
    <w:rsid w:val="000B5AC3"/>
    <w:rsid w:val="000B772C"/>
    <w:rsid w:val="000E4E2C"/>
    <w:rsid w:val="000F790E"/>
    <w:rsid w:val="00115870"/>
    <w:rsid w:val="00131E72"/>
    <w:rsid w:val="00132B1B"/>
    <w:rsid w:val="001445F0"/>
    <w:rsid w:val="00153ED8"/>
    <w:rsid w:val="001760E8"/>
    <w:rsid w:val="001C2D93"/>
    <w:rsid w:val="001C64FD"/>
    <w:rsid w:val="001D0FF8"/>
    <w:rsid w:val="002004CB"/>
    <w:rsid w:val="00207BE6"/>
    <w:rsid w:val="00210EA8"/>
    <w:rsid w:val="00224BE8"/>
    <w:rsid w:val="002327CF"/>
    <w:rsid w:val="002917A9"/>
    <w:rsid w:val="002F45A4"/>
    <w:rsid w:val="00310E87"/>
    <w:rsid w:val="0033056D"/>
    <w:rsid w:val="00383812"/>
    <w:rsid w:val="003A2FE5"/>
    <w:rsid w:val="003A3307"/>
    <w:rsid w:val="003F03B8"/>
    <w:rsid w:val="003F2AE8"/>
    <w:rsid w:val="00401C63"/>
    <w:rsid w:val="0040495D"/>
    <w:rsid w:val="00410804"/>
    <w:rsid w:val="004171BE"/>
    <w:rsid w:val="00456AA6"/>
    <w:rsid w:val="00475B3D"/>
    <w:rsid w:val="004820FB"/>
    <w:rsid w:val="00497B49"/>
    <w:rsid w:val="004A216B"/>
    <w:rsid w:val="004A602D"/>
    <w:rsid w:val="004B1C5E"/>
    <w:rsid w:val="004F039A"/>
    <w:rsid w:val="005379FC"/>
    <w:rsid w:val="0056023E"/>
    <w:rsid w:val="0059000C"/>
    <w:rsid w:val="005C6E9B"/>
    <w:rsid w:val="005D1CFB"/>
    <w:rsid w:val="005D2C92"/>
    <w:rsid w:val="005D5A8F"/>
    <w:rsid w:val="005F115C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7198D"/>
    <w:rsid w:val="00780083"/>
    <w:rsid w:val="007B4500"/>
    <w:rsid w:val="007C7F96"/>
    <w:rsid w:val="007D0E12"/>
    <w:rsid w:val="007E765F"/>
    <w:rsid w:val="00834538"/>
    <w:rsid w:val="008414AF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7DFA"/>
    <w:rsid w:val="00990050"/>
    <w:rsid w:val="009C708E"/>
    <w:rsid w:val="00A40CAA"/>
    <w:rsid w:val="00A40EDA"/>
    <w:rsid w:val="00A46C5A"/>
    <w:rsid w:val="00A71429"/>
    <w:rsid w:val="00A8105C"/>
    <w:rsid w:val="00AA48A5"/>
    <w:rsid w:val="00AB2917"/>
    <w:rsid w:val="00AC7B31"/>
    <w:rsid w:val="00B13D06"/>
    <w:rsid w:val="00B2650C"/>
    <w:rsid w:val="00B47593"/>
    <w:rsid w:val="00B47A86"/>
    <w:rsid w:val="00B738F9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B107F"/>
    <w:rsid w:val="00CF7081"/>
    <w:rsid w:val="00D065FC"/>
    <w:rsid w:val="00D24B99"/>
    <w:rsid w:val="00D350B2"/>
    <w:rsid w:val="00D35803"/>
    <w:rsid w:val="00D6244C"/>
    <w:rsid w:val="00D82398"/>
    <w:rsid w:val="00DC494F"/>
    <w:rsid w:val="00DC5F73"/>
    <w:rsid w:val="00DD2DCA"/>
    <w:rsid w:val="00DD4EDB"/>
    <w:rsid w:val="00DF609B"/>
    <w:rsid w:val="00E10DE2"/>
    <w:rsid w:val="00E16C2C"/>
    <w:rsid w:val="00E26F8D"/>
    <w:rsid w:val="00E40190"/>
    <w:rsid w:val="00E4774A"/>
    <w:rsid w:val="00E51A73"/>
    <w:rsid w:val="00E608FB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A7C99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977E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04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41288-BFEE-4DD3-885D-C036DB28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28</cp:revision>
  <cp:lastPrinted>2023-06-23T16:25:00Z</cp:lastPrinted>
  <dcterms:created xsi:type="dcterms:W3CDTF">2026-02-09T16:25:00Z</dcterms:created>
  <dcterms:modified xsi:type="dcterms:W3CDTF">2026-03-04T16:36:00Z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